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29C" w:rsidRPr="00E04BFD" w:rsidRDefault="00C1029C" w:rsidP="00C1029C">
      <w:pPr>
        <w:overflowPunct w:val="0"/>
        <w:topLinePunct/>
        <w:spacing w:line="600" w:lineRule="exact"/>
        <w:rPr>
          <w:rFonts w:ascii="Times New Roman" w:eastAsia="黑体" w:hAnsi="Times New Roman"/>
          <w:color w:val="000000"/>
          <w:sz w:val="32"/>
          <w:szCs w:val="32"/>
        </w:rPr>
      </w:pPr>
      <w:bookmarkStart w:id="0" w:name="_GoBack"/>
      <w:r w:rsidRPr="00E04BFD">
        <w:rPr>
          <w:rFonts w:ascii="Times New Roman" w:eastAsia="黑体" w:hAnsi="Times New Roman"/>
          <w:color w:val="000000"/>
          <w:sz w:val="32"/>
          <w:szCs w:val="32"/>
        </w:rPr>
        <w:t>附件</w:t>
      </w:r>
      <w:r w:rsidRPr="00E04BFD">
        <w:rPr>
          <w:rFonts w:ascii="Times New Roman" w:eastAsia="黑体" w:hAnsi="Times New Roman"/>
          <w:color w:val="000000"/>
          <w:sz w:val="32"/>
          <w:szCs w:val="32"/>
        </w:rPr>
        <w:t>1</w:t>
      </w:r>
    </w:p>
    <w:bookmarkEnd w:id="0"/>
    <w:p w:rsidR="00C1029C" w:rsidRPr="00E04BFD" w:rsidRDefault="00C1029C" w:rsidP="00C1029C">
      <w:pPr>
        <w:overflowPunct w:val="0"/>
        <w:topLinePunct/>
        <w:adjustRightInd w:val="0"/>
        <w:snapToGrid w:val="0"/>
        <w:spacing w:line="600" w:lineRule="exact"/>
        <w:ind w:rightChars="600" w:right="1260"/>
        <w:rPr>
          <w:rFonts w:ascii="Times New Roman" w:eastAsia="仿宋_GB2312" w:hAnsi="Times New Roman"/>
          <w:sz w:val="32"/>
          <w:szCs w:val="20"/>
        </w:rPr>
      </w:pPr>
    </w:p>
    <w:p w:rsidR="00C1029C" w:rsidRPr="00E04BFD" w:rsidRDefault="00C1029C" w:rsidP="00C1029C">
      <w:pPr>
        <w:overflowPunct w:val="0"/>
        <w:topLinePunct/>
        <w:spacing w:line="600" w:lineRule="exact"/>
        <w:jc w:val="center"/>
        <w:rPr>
          <w:rStyle w:val="NormalCharacter"/>
          <w:rFonts w:ascii="Times New Roman" w:eastAsia="方正小标宋简体" w:hAnsi="Times New Roman"/>
          <w:sz w:val="44"/>
          <w:szCs w:val="44"/>
        </w:rPr>
      </w:pPr>
      <w:r w:rsidRPr="00E04BFD">
        <w:rPr>
          <w:rStyle w:val="NormalCharacter"/>
          <w:rFonts w:ascii="Times New Roman" w:eastAsia="方正小标宋简体" w:hAnsi="Times New Roman"/>
          <w:sz w:val="44"/>
          <w:szCs w:val="44"/>
        </w:rPr>
        <w:t>四川省突发环境事件应急预案备案行业</w:t>
      </w:r>
    </w:p>
    <w:p w:rsidR="00C1029C" w:rsidRPr="00E04BFD" w:rsidRDefault="00C1029C" w:rsidP="00C1029C">
      <w:pPr>
        <w:overflowPunct w:val="0"/>
        <w:topLinePunct/>
        <w:spacing w:line="600" w:lineRule="exact"/>
        <w:jc w:val="center"/>
        <w:rPr>
          <w:rStyle w:val="NormalCharacter"/>
          <w:rFonts w:ascii="Times New Roman" w:eastAsia="方正小标宋简体" w:hAnsi="Times New Roman"/>
          <w:sz w:val="44"/>
          <w:szCs w:val="44"/>
        </w:rPr>
      </w:pPr>
      <w:r w:rsidRPr="00E04BFD">
        <w:rPr>
          <w:rStyle w:val="NormalCharacter"/>
          <w:rFonts w:ascii="Times New Roman" w:eastAsia="方正小标宋简体" w:hAnsi="Times New Roman"/>
          <w:sz w:val="44"/>
          <w:szCs w:val="44"/>
        </w:rPr>
        <w:t>名录（试行）</w:t>
      </w:r>
    </w:p>
    <w:p w:rsidR="00C1029C" w:rsidRPr="00E04BFD" w:rsidRDefault="00C1029C" w:rsidP="00C1029C">
      <w:pPr>
        <w:overflowPunct w:val="0"/>
        <w:topLinePunct/>
        <w:spacing w:line="600" w:lineRule="exact"/>
        <w:jc w:val="center"/>
        <w:rPr>
          <w:rStyle w:val="NormalCharacter"/>
          <w:rFonts w:ascii="Times New Roman" w:eastAsia="楷体_GB2312" w:hAnsi="Times New Roman"/>
          <w:b/>
          <w:sz w:val="32"/>
          <w:szCs w:val="32"/>
        </w:rPr>
      </w:pPr>
    </w:p>
    <w:p w:rsidR="00C1029C" w:rsidRPr="00E04BFD" w:rsidRDefault="00C1029C" w:rsidP="00C1029C">
      <w:pPr>
        <w:overflowPunct w:val="0"/>
        <w:topLinePunct/>
        <w:spacing w:line="600" w:lineRule="exact"/>
        <w:ind w:firstLineChars="200" w:firstLine="643"/>
        <w:rPr>
          <w:rStyle w:val="NormalCharacter"/>
          <w:rFonts w:ascii="Times New Roman" w:eastAsia="仿宋_GB2312" w:hAnsi="Times New Roman" w:hint="eastAsia"/>
          <w:sz w:val="32"/>
        </w:rPr>
      </w:pPr>
      <w:r w:rsidRPr="00E04BFD">
        <w:rPr>
          <w:rStyle w:val="NormalCharacter"/>
          <w:rFonts w:ascii="Times New Roman" w:eastAsia="仿宋_GB2312" w:hAnsi="Times New Roman" w:hint="eastAsia"/>
          <w:b/>
          <w:bCs/>
          <w:sz w:val="32"/>
        </w:rPr>
        <w:t>第一条</w:t>
      </w:r>
      <w:r w:rsidRPr="00E04BFD">
        <w:rPr>
          <w:rStyle w:val="NormalCharacter"/>
          <w:rFonts w:ascii="Times New Roman" w:eastAsia="仿宋_GB2312" w:hAnsi="Times New Roman" w:hint="eastAsia"/>
          <w:b/>
          <w:bCs/>
          <w:sz w:val="32"/>
        </w:rPr>
        <w:t xml:space="preserve"> </w:t>
      </w:r>
      <w:r w:rsidRPr="00E04BFD">
        <w:rPr>
          <w:rStyle w:val="NormalCharacter"/>
          <w:rFonts w:ascii="Times New Roman" w:eastAsia="仿宋_GB2312" w:hAnsi="Times New Roman" w:hint="eastAsia"/>
          <w:sz w:val="32"/>
        </w:rPr>
        <w:t>为</w:t>
      </w:r>
      <w:r w:rsidRPr="00E04BFD">
        <w:rPr>
          <w:rStyle w:val="NormalCharacter"/>
          <w:rFonts w:ascii="Times New Roman" w:eastAsia="仿宋_GB2312" w:hAnsi="Times New Roman" w:hint="eastAsia"/>
          <w:kern w:val="0"/>
          <w:sz w:val="32"/>
          <w:szCs w:val="32"/>
        </w:rPr>
        <w:t>规范企业事业单位的预案备案管理，加强企业事业单位从源头防范环境风险</w:t>
      </w:r>
      <w:r w:rsidRPr="00E04BFD">
        <w:rPr>
          <w:rStyle w:val="NormalCharacter"/>
          <w:rFonts w:ascii="Times New Roman" w:eastAsia="仿宋_GB2312" w:hAnsi="Times New Roman" w:hint="eastAsia"/>
          <w:sz w:val="32"/>
        </w:rPr>
        <w:t>，根据</w:t>
      </w:r>
      <w:r w:rsidRPr="00E04BFD">
        <w:rPr>
          <w:rStyle w:val="NormalCharacter"/>
          <w:rFonts w:ascii="Times New Roman" w:eastAsia="仿宋_GB2312" w:hAnsi="Times New Roman" w:hint="eastAsia"/>
          <w:sz w:val="32"/>
          <w:szCs w:val="32"/>
        </w:rPr>
        <w:t>《中华人民共和国环境保护法》、《中华人民共和国突发事件应对法》、《突发环境事件应急管理办法》和《企业事业单位突发环境事件应急预案备案管理办法（试行）》</w:t>
      </w:r>
      <w:r w:rsidRPr="00E04BFD">
        <w:rPr>
          <w:rStyle w:val="NormalCharacter"/>
          <w:rFonts w:ascii="Times New Roman" w:eastAsia="仿宋_GB2312" w:hAnsi="Times New Roman" w:hint="eastAsia"/>
          <w:sz w:val="32"/>
        </w:rPr>
        <w:t>的相关规定，特制定本名录。</w:t>
      </w:r>
    </w:p>
    <w:p w:rsidR="00C1029C" w:rsidRPr="00E04BFD" w:rsidRDefault="00C1029C" w:rsidP="00C1029C">
      <w:pPr>
        <w:overflowPunct w:val="0"/>
        <w:topLinePunct/>
        <w:spacing w:line="600" w:lineRule="exact"/>
        <w:ind w:firstLineChars="200" w:firstLine="643"/>
        <w:rPr>
          <w:rStyle w:val="NormalCharacter"/>
          <w:rFonts w:ascii="Times New Roman" w:eastAsia="仿宋_GB2312" w:hAnsi="Times New Roman" w:hint="eastAsia"/>
          <w:sz w:val="32"/>
          <w:szCs w:val="32"/>
        </w:rPr>
      </w:pPr>
      <w:r w:rsidRPr="00E04BFD">
        <w:rPr>
          <w:rStyle w:val="NormalCharacter"/>
          <w:rFonts w:ascii="Times New Roman" w:eastAsia="仿宋_GB2312" w:hAnsi="Times New Roman" w:hint="eastAsia"/>
          <w:b/>
          <w:bCs/>
          <w:sz w:val="32"/>
        </w:rPr>
        <w:t>第二条</w:t>
      </w:r>
      <w:r w:rsidRPr="00E04BFD">
        <w:rPr>
          <w:rStyle w:val="NormalCharacter"/>
          <w:rFonts w:ascii="Times New Roman" w:eastAsia="仿宋_GB2312" w:hAnsi="Times New Roman" w:hint="eastAsia"/>
          <w:b/>
          <w:bCs/>
          <w:sz w:val="32"/>
        </w:rPr>
        <w:t xml:space="preserve"> </w:t>
      </w:r>
      <w:r w:rsidRPr="00E04BFD">
        <w:rPr>
          <w:rStyle w:val="NormalCharacter"/>
          <w:rFonts w:ascii="Times New Roman" w:eastAsia="仿宋_GB2312" w:hAnsi="Times New Roman" w:hint="eastAsia"/>
          <w:sz w:val="32"/>
          <w:szCs w:val="32"/>
        </w:rPr>
        <w:t>本名录所称突发环境事件应急预案，是指企业事业单位为了在应对各类事故、自然灾害时，采取紧急措施，避免或最大程度减少污染物或其他有毒有害物质进入厂界外大气、水体、土壤等环境介质，而预先制定的工作方案。</w:t>
      </w:r>
    </w:p>
    <w:p w:rsidR="00C1029C" w:rsidRPr="00E04BFD" w:rsidRDefault="00C1029C" w:rsidP="00C1029C">
      <w:pPr>
        <w:overflowPunct w:val="0"/>
        <w:topLinePunct/>
        <w:spacing w:line="600" w:lineRule="exact"/>
        <w:ind w:firstLineChars="200" w:firstLine="643"/>
        <w:rPr>
          <w:rStyle w:val="NormalCharacter"/>
          <w:rFonts w:ascii="Times New Roman" w:eastAsia="仿宋_GB2312" w:hAnsi="Times New Roman" w:hint="eastAsia"/>
          <w:sz w:val="32"/>
        </w:rPr>
      </w:pPr>
      <w:r w:rsidRPr="00E04BFD">
        <w:rPr>
          <w:rStyle w:val="NormalCharacter"/>
          <w:rFonts w:ascii="Times New Roman" w:eastAsia="仿宋_GB2312" w:hAnsi="Times New Roman" w:hint="eastAsia"/>
          <w:b/>
          <w:bCs/>
          <w:sz w:val="32"/>
          <w:szCs w:val="32"/>
        </w:rPr>
        <w:t>第三条</w:t>
      </w:r>
      <w:r w:rsidRPr="00E04BFD">
        <w:rPr>
          <w:rStyle w:val="NormalCharacter"/>
          <w:rFonts w:ascii="Times New Roman" w:eastAsia="仿宋_GB2312" w:hAnsi="Times New Roman" w:hint="eastAsia"/>
          <w:b/>
          <w:bCs/>
          <w:sz w:val="32"/>
          <w:szCs w:val="32"/>
        </w:rPr>
        <w:t xml:space="preserve"> </w:t>
      </w:r>
      <w:r w:rsidRPr="00E04BFD">
        <w:rPr>
          <w:rStyle w:val="NormalCharacter"/>
          <w:rFonts w:ascii="Times New Roman" w:eastAsia="仿宋_GB2312" w:hAnsi="Times New Roman" w:hint="eastAsia"/>
          <w:sz w:val="32"/>
        </w:rPr>
        <w:t>纳入本名录的企业事业单位应当制定符合自身实际的突发环境事件应急预案，并按照《企业事业单位突发环境事件应急预案备案管理办法（试行）》要求，向所在地县级生态环境主管部门备案。四川省生态环境厅负责全省突发环境事件应急预案备案工作的统一监督管理。</w:t>
      </w:r>
    </w:p>
    <w:p w:rsidR="00C1029C" w:rsidRPr="00E04BFD" w:rsidRDefault="00C1029C" w:rsidP="00C1029C">
      <w:pPr>
        <w:overflowPunct w:val="0"/>
        <w:topLinePunct/>
        <w:spacing w:line="600" w:lineRule="exact"/>
        <w:ind w:firstLineChars="200" w:firstLine="643"/>
        <w:rPr>
          <w:rStyle w:val="NormalCharacter"/>
          <w:rFonts w:ascii="Times New Roman" w:eastAsia="仿宋_GB2312" w:hAnsi="Times New Roman" w:hint="eastAsia"/>
          <w:sz w:val="32"/>
        </w:rPr>
      </w:pPr>
      <w:r w:rsidRPr="00E04BFD">
        <w:rPr>
          <w:rStyle w:val="NormalCharacter"/>
          <w:rFonts w:ascii="Times New Roman" w:eastAsia="仿宋_GB2312" w:hAnsi="Times New Roman" w:hint="eastAsia"/>
          <w:b/>
          <w:bCs/>
          <w:sz w:val="32"/>
        </w:rPr>
        <w:t>第四条</w:t>
      </w:r>
      <w:r w:rsidRPr="00E04BFD">
        <w:rPr>
          <w:rStyle w:val="NormalCharacter"/>
          <w:rFonts w:ascii="Times New Roman" w:eastAsia="仿宋_GB2312" w:hAnsi="Times New Roman" w:hint="eastAsia"/>
          <w:b/>
          <w:bCs/>
          <w:sz w:val="32"/>
        </w:rPr>
        <w:t xml:space="preserve"> </w:t>
      </w:r>
      <w:r w:rsidRPr="00E04BFD">
        <w:rPr>
          <w:rStyle w:val="NormalCharacter"/>
          <w:rFonts w:ascii="Times New Roman" w:eastAsia="仿宋_GB2312" w:hAnsi="Times New Roman" w:hint="eastAsia"/>
          <w:sz w:val="32"/>
        </w:rPr>
        <w:t>未纳入本名录的企业</w:t>
      </w:r>
      <w:r w:rsidRPr="00E04BFD">
        <w:rPr>
          <w:rStyle w:val="NormalCharacter"/>
          <w:rFonts w:ascii="Times New Roman" w:eastAsia="仿宋_GB2312" w:hAnsi="Times New Roman" w:hint="eastAsia"/>
          <w:kern w:val="0"/>
          <w:sz w:val="32"/>
          <w:szCs w:val="32"/>
        </w:rPr>
        <w:t>事业单位</w:t>
      </w:r>
      <w:r w:rsidRPr="00E04BFD">
        <w:rPr>
          <w:rStyle w:val="NormalCharacter"/>
          <w:rFonts w:ascii="Times New Roman" w:eastAsia="仿宋_GB2312" w:hAnsi="Times New Roman" w:hint="eastAsia"/>
          <w:sz w:val="32"/>
          <w:szCs w:val="32"/>
        </w:rPr>
        <w:t>，鼓励其制定突发环境事件应急预案，或在突发事件应急预案中制定突发环境事件应急预案专章，并备案。</w:t>
      </w:r>
    </w:p>
    <w:p w:rsidR="00C1029C" w:rsidRPr="00E04BFD" w:rsidRDefault="00C1029C" w:rsidP="00C1029C">
      <w:pPr>
        <w:overflowPunct w:val="0"/>
        <w:topLinePunct/>
        <w:spacing w:line="600" w:lineRule="exact"/>
        <w:ind w:firstLineChars="200" w:firstLine="643"/>
        <w:rPr>
          <w:rStyle w:val="NormalCharacter"/>
          <w:rFonts w:ascii="Times New Roman" w:eastAsia="仿宋_GB2312" w:hAnsi="Times New Roman" w:hint="eastAsia"/>
          <w:sz w:val="32"/>
        </w:rPr>
      </w:pPr>
      <w:r w:rsidRPr="00E04BFD">
        <w:rPr>
          <w:rStyle w:val="NormalCharacter"/>
          <w:rFonts w:ascii="Times New Roman" w:eastAsia="仿宋_GB2312" w:hAnsi="Times New Roman" w:hint="eastAsia"/>
          <w:b/>
          <w:bCs/>
          <w:sz w:val="32"/>
        </w:rPr>
        <w:t>第五条</w:t>
      </w:r>
      <w:r w:rsidRPr="00E04BFD">
        <w:rPr>
          <w:rStyle w:val="NormalCharacter"/>
          <w:rFonts w:ascii="Times New Roman" w:eastAsia="仿宋_GB2312" w:hAnsi="Times New Roman" w:hint="eastAsia"/>
          <w:b/>
          <w:bCs/>
          <w:sz w:val="32"/>
        </w:rPr>
        <w:t xml:space="preserve"> </w:t>
      </w:r>
      <w:r w:rsidRPr="00E04BFD">
        <w:rPr>
          <w:rStyle w:val="NormalCharacter"/>
          <w:rFonts w:ascii="Times New Roman" w:eastAsia="仿宋_GB2312" w:hAnsi="Times New Roman" w:hint="eastAsia"/>
          <w:sz w:val="32"/>
        </w:rPr>
        <w:t>核与辐射相关行业未纳入本名录。</w:t>
      </w:r>
    </w:p>
    <w:p w:rsidR="00C1029C" w:rsidRPr="00E04BFD" w:rsidRDefault="00C1029C" w:rsidP="00C1029C">
      <w:pPr>
        <w:overflowPunct w:val="0"/>
        <w:topLinePunct/>
        <w:spacing w:line="600" w:lineRule="exact"/>
        <w:ind w:firstLineChars="200" w:firstLine="643"/>
        <w:rPr>
          <w:rStyle w:val="NormalCharacter"/>
          <w:rFonts w:ascii="Times New Roman" w:eastAsia="仿宋_GB2312" w:hAnsi="Times New Roman" w:hint="eastAsia"/>
          <w:sz w:val="32"/>
        </w:rPr>
      </w:pPr>
      <w:r w:rsidRPr="00E04BFD">
        <w:rPr>
          <w:rStyle w:val="NormalCharacter"/>
          <w:rFonts w:ascii="Times New Roman" w:eastAsia="仿宋_GB2312" w:hAnsi="Times New Roman" w:hint="eastAsia"/>
          <w:b/>
          <w:bCs/>
          <w:sz w:val="32"/>
        </w:rPr>
        <w:lastRenderedPageBreak/>
        <w:t>第六条</w:t>
      </w:r>
      <w:r w:rsidRPr="00E04BFD">
        <w:rPr>
          <w:rStyle w:val="NormalCharacter"/>
          <w:rFonts w:ascii="Times New Roman" w:eastAsia="仿宋_GB2312" w:hAnsi="Times New Roman" w:hint="eastAsia"/>
          <w:b/>
          <w:bCs/>
          <w:sz w:val="32"/>
        </w:rPr>
        <w:t xml:space="preserve"> </w:t>
      </w:r>
      <w:r w:rsidRPr="00E04BFD">
        <w:rPr>
          <w:rStyle w:val="NormalCharacter"/>
          <w:rFonts w:ascii="Times New Roman" w:eastAsia="仿宋_GB2312" w:hAnsi="Times New Roman" w:hint="eastAsia"/>
          <w:sz w:val="32"/>
        </w:rPr>
        <w:t>本名录由四川省生态环境厅负责解释，并适时修订。</w:t>
      </w:r>
    </w:p>
    <w:p w:rsidR="00C1029C" w:rsidRPr="00E04BFD" w:rsidRDefault="00C1029C" w:rsidP="00C1029C">
      <w:pPr>
        <w:overflowPunct w:val="0"/>
        <w:topLinePunct/>
        <w:spacing w:line="600" w:lineRule="exact"/>
        <w:ind w:firstLineChars="200" w:firstLine="643"/>
        <w:rPr>
          <w:rStyle w:val="NormalCharacter"/>
          <w:rFonts w:ascii="Times New Roman" w:eastAsia="仿宋_GB2312" w:hAnsi="Times New Roman" w:hint="eastAsia"/>
          <w:sz w:val="32"/>
        </w:rPr>
      </w:pPr>
      <w:r w:rsidRPr="00E04BFD">
        <w:rPr>
          <w:rStyle w:val="NormalCharacter"/>
          <w:rFonts w:ascii="Times New Roman" w:eastAsia="仿宋_GB2312" w:hAnsi="Times New Roman" w:hint="eastAsia"/>
          <w:b/>
          <w:bCs/>
          <w:sz w:val="32"/>
        </w:rPr>
        <w:t>第七条</w:t>
      </w:r>
      <w:r w:rsidRPr="00E04BFD">
        <w:rPr>
          <w:rStyle w:val="NormalCharacter"/>
          <w:rFonts w:ascii="Times New Roman" w:eastAsia="仿宋_GB2312" w:hAnsi="Times New Roman" w:hint="eastAsia"/>
          <w:b/>
          <w:bCs/>
          <w:sz w:val="32"/>
        </w:rPr>
        <w:t xml:space="preserve"> </w:t>
      </w:r>
      <w:r w:rsidRPr="00E04BFD">
        <w:rPr>
          <w:rStyle w:val="NormalCharacter"/>
          <w:rFonts w:ascii="Times New Roman" w:eastAsia="仿宋_GB2312" w:hAnsi="Times New Roman" w:hint="eastAsia"/>
          <w:sz w:val="32"/>
        </w:rPr>
        <w:t>本名录自</w:t>
      </w:r>
      <w:r w:rsidRPr="00E04BFD">
        <w:rPr>
          <w:rStyle w:val="NormalCharacter"/>
          <w:rFonts w:ascii="Times New Roman" w:eastAsia="仿宋_GB2312" w:hAnsi="Times New Roman" w:hint="eastAsia"/>
          <w:sz w:val="32"/>
        </w:rPr>
        <w:t>2020</w:t>
      </w:r>
      <w:r w:rsidRPr="00E04BFD">
        <w:rPr>
          <w:rStyle w:val="NormalCharacter"/>
          <w:rFonts w:ascii="Times New Roman" w:eastAsia="仿宋_GB2312" w:hAnsi="Times New Roman" w:hint="eastAsia"/>
          <w:sz w:val="32"/>
        </w:rPr>
        <w:t>年</w:t>
      </w:r>
      <w:r w:rsidRPr="00E04BFD">
        <w:rPr>
          <w:rStyle w:val="NormalCharacter"/>
          <w:rFonts w:ascii="Times New Roman" w:eastAsia="仿宋_GB2312" w:hAnsi="Times New Roman" w:hint="eastAsia"/>
          <w:sz w:val="32"/>
        </w:rPr>
        <w:t>2</w:t>
      </w:r>
      <w:r w:rsidRPr="00E04BFD">
        <w:rPr>
          <w:rStyle w:val="NormalCharacter"/>
          <w:rFonts w:ascii="Times New Roman" w:eastAsia="仿宋_GB2312" w:hAnsi="Times New Roman" w:hint="eastAsia"/>
          <w:sz w:val="32"/>
        </w:rPr>
        <w:t>月</w:t>
      </w:r>
      <w:r w:rsidRPr="00E04BFD">
        <w:rPr>
          <w:rStyle w:val="NormalCharacter"/>
          <w:rFonts w:ascii="Times New Roman" w:eastAsia="仿宋_GB2312" w:hAnsi="Times New Roman" w:hint="eastAsia"/>
          <w:sz w:val="32"/>
        </w:rPr>
        <w:t>1</w:t>
      </w:r>
      <w:r w:rsidRPr="00E04BFD">
        <w:rPr>
          <w:rStyle w:val="NormalCharacter"/>
          <w:rFonts w:ascii="Times New Roman" w:eastAsia="仿宋_GB2312" w:hAnsi="Times New Roman" w:hint="eastAsia"/>
          <w:sz w:val="32"/>
        </w:rPr>
        <w:t>日起施行。</w:t>
      </w:r>
    </w:p>
    <w:p w:rsidR="00C1029C" w:rsidRPr="00E04BFD" w:rsidRDefault="00C1029C" w:rsidP="00C1029C">
      <w:pPr>
        <w:widowControl/>
        <w:topLinePunct/>
        <w:jc w:val="left"/>
        <w:rPr>
          <w:rStyle w:val="NormalCharacter"/>
          <w:rFonts w:ascii="Times New Roman" w:eastAsia="微软雅黑" w:hAnsi="Times New Roman"/>
          <w:color w:val="000000"/>
          <w:sz w:val="27"/>
          <w:szCs w:val="27"/>
        </w:rPr>
      </w:pPr>
      <w:r w:rsidRPr="00E04BFD">
        <w:rPr>
          <w:rStyle w:val="NormalCharacter"/>
          <w:rFonts w:ascii="Times New Roman" w:eastAsia="仿宋_GB2312" w:hAnsi="Times New Roman"/>
          <w:sz w:val="32"/>
        </w:rPr>
        <w:br w:type="page"/>
      </w:r>
    </w:p>
    <w:tbl>
      <w:tblPr>
        <w:tblW w:w="8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09"/>
        <w:gridCol w:w="1379"/>
        <w:gridCol w:w="3470"/>
        <w:gridCol w:w="3128"/>
      </w:tblGrid>
      <w:tr w:rsidR="00C1029C" w:rsidRPr="00E04BFD" w:rsidTr="003C712F">
        <w:trPr>
          <w:cantSplit/>
          <w:trHeight w:val="20"/>
          <w:tblHeader/>
          <w:jc w:val="center"/>
        </w:trPr>
        <w:tc>
          <w:tcPr>
            <w:tcW w:w="809" w:type="dxa"/>
            <w:vMerge w:val="restart"/>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黑体" w:hAnsi="Times New Roman"/>
                <w:color w:val="000000"/>
                <w:sz w:val="24"/>
              </w:rPr>
            </w:pPr>
            <w:r w:rsidRPr="00E04BFD">
              <w:rPr>
                <w:rStyle w:val="NormalCharacter"/>
                <w:rFonts w:ascii="Times New Roman" w:eastAsia="黑体" w:hAnsi="Times New Roman"/>
                <w:color w:val="000000"/>
                <w:sz w:val="24"/>
              </w:rPr>
              <w:lastRenderedPageBreak/>
              <w:t>序号</w:t>
            </w:r>
          </w:p>
        </w:tc>
        <w:tc>
          <w:tcPr>
            <w:tcW w:w="4849" w:type="dxa"/>
            <w:gridSpan w:val="2"/>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黑体" w:hAnsi="Times New Roman"/>
                <w:color w:val="000000"/>
                <w:sz w:val="24"/>
              </w:rPr>
            </w:pPr>
            <w:r w:rsidRPr="00E04BFD">
              <w:rPr>
                <w:rStyle w:val="NormalCharacter"/>
                <w:rFonts w:ascii="Times New Roman" w:eastAsia="黑体" w:hAnsi="Times New Roman"/>
                <w:color w:val="000000"/>
                <w:sz w:val="24"/>
              </w:rPr>
              <w:t>类别名称</w:t>
            </w:r>
          </w:p>
        </w:tc>
        <w:tc>
          <w:tcPr>
            <w:tcW w:w="3128" w:type="dxa"/>
            <w:vMerge w:val="restart"/>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黑体" w:hAnsi="Times New Roman"/>
                <w:color w:val="000000"/>
                <w:sz w:val="24"/>
              </w:rPr>
            </w:pPr>
            <w:r w:rsidRPr="00E04BFD">
              <w:rPr>
                <w:rStyle w:val="NormalCharacter"/>
                <w:rFonts w:ascii="Times New Roman" w:eastAsia="黑体" w:hAnsi="Times New Roman"/>
                <w:color w:val="000000"/>
                <w:sz w:val="24"/>
              </w:rPr>
              <w:t>备注</w:t>
            </w:r>
          </w:p>
        </w:tc>
      </w:tr>
      <w:tr w:rsidR="00C1029C" w:rsidRPr="00E04BFD" w:rsidTr="003C712F">
        <w:trPr>
          <w:cantSplit/>
          <w:trHeight w:val="20"/>
          <w:tblHeader/>
          <w:jc w:val="center"/>
        </w:trPr>
        <w:tc>
          <w:tcPr>
            <w:tcW w:w="80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仿宋_GB2312" w:hAnsi="Times New Roman"/>
                <w:color w:val="000000"/>
                <w:sz w:val="24"/>
              </w:rPr>
            </w:pPr>
          </w:p>
        </w:tc>
        <w:tc>
          <w:tcPr>
            <w:tcW w:w="137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黑体" w:hAnsi="Times New Roman"/>
                <w:color w:val="000000"/>
                <w:sz w:val="24"/>
              </w:rPr>
            </w:pPr>
            <w:r w:rsidRPr="00E04BFD">
              <w:rPr>
                <w:rStyle w:val="NormalCharacter"/>
                <w:rFonts w:ascii="Times New Roman" w:eastAsia="黑体" w:hAnsi="Times New Roman"/>
                <w:color w:val="000000"/>
                <w:sz w:val="24"/>
              </w:rPr>
              <w:t>大类及其对应国民经济行业代码</w:t>
            </w: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黑体" w:hAnsi="Times New Roman"/>
                <w:color w:val="000000"/>
                <w:sz w:val="24"/>
              </w:rPr>
            </w:pPr>
            <w:r w:rsidRPr="00E04BFD">
              <w:rPr>
                <w:rStyle w:val="NormalCharacter"/>
                <w:rFonts w:ascii="Times New Roman" w:eastAsia="黑体" w:hAnsi="Times New Roman"/>
                <w:color w:val="000000"/>
                <w:sz w:val="24"/>
              </w:rPr>
              <w:t>小类</w:t>
            </w:r>
          </w:p>
        </w:tc>
        <w:tc>
          <w:tcPr>
            <w:tcW w:w="3128"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仿宋_GB2312" w:hAnsi="Times New Roman"/>
                <w:color w:val="000000"/>
                <w:sz w:val="24"/>
              </w:rPr>
            </w:pPr>
          </w:p>
        </w:tc>
      </w:tr>
      <w:tr w:rsidR="00C1029C" w:rsidRPr="00E04BFD" w:rsidTr="003C712F">
        <w:trPr>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1</w:t>
            </w:r>
          </w:p>
        </w:tc>
        <w:tc>
          <w:tcPr>
            <w:tcW w:w="137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畜牧业</w:t>
            </w:r>
          </w:p>
          <w:p w:rsidR="00C1029C" w:rsidRPr="00E04BFD" w:rsidRDefault="00C1029C" w:rsidP="003C712F">
            <w:pPr>
              <w:topLinePunct/>
              <w:spacing w:line="40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A03</w:t>
            </w: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规模化畜禽养殖场</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年出栏生猪</w:t>
            </w:r>
            <w:r w:rsidRPr="00E04BFD">
              <w:rPr>
                <w:rStyle w:val="NormalCharacter"/>
                <w:rFonts w:ascii="Times New Roman" w:eastAsia="仿宋_GB2312" w:hAnsi="Times New Roman"/>
                <w:color w:val="000000"/>
                <w:sz w:val="24"/>
              </w:rPr>
              <w:t>5000</w:t>
            </w:r>
            <w:r w:rsidRPr="00E04BFD">
              <w:rPr>
                <w:rStyle w:val="NormalCharacter"/>
                <w:rFonts w:ascii="Times New Roman" w:eastAsia="仿宋_GB2312" w:hAnsi="Times New Roman"/>
                <w:color w:val="000000"/>
                <w:sz w:val="24"/>
              </w:rPr>
              <w:t>头（其他畜禽种类折合猪的养殖规模）及以上；涉及环境敏感区域（一）和（二）的</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2</w:t>
            </w:r>
          </w:p>
        </w:tc>
        <w:tc>
          <w:tcPr>
            <w:tcW w:w="1379" w:type="dxa"/>
            <w:vMerge w:val="restart"/>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农副食品</w:t>
            </w:r>
          </w:p>
          <w:p w:rsidR="00C1029C" w:rsidRPr="00E04BFD" w:rsidRDefault="00C1029C" w:rsidP="003C712F">
            <w:pPr>
              <w:topLinePunct/>
              <w:spacing w:line="40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加工业</w:t>
            </w:r>
          </w:p>
          <w:p w:rsidR="00C1029C" w:rsidRPr="00E04BFD" w:rsidRDefault="00C1029C" w:rsidP="003C712F">
            <w:pPr>
              <w:topLinePunct/>
              <w:spacing w:line="40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C13</w:t>
            </w: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粮食及饲料加工</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含发酵工艺的</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3</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制糖、糖制品加工</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原糖生产</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4</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淀粉、淀粉糖</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含发酵工艺的</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5</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植物油加工</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rPr>
                <w:rStyle w:val="NormalCharacter"/>
                <w:rFonts w:ascii="Times New Roman" w:eastAsia="仿宋_GB2312" w:hAnsi="Times New Roman"/>
                <w:color w:val="000000"/>
                <w:sz w:val="24"/>
              </w:rPr>
            </w:pPr>
            <w:r w:rsidRPr="00E04BFD">
              <w:rPr>
                <w:rFonts w:ascii="Times New Roman" w:eastAsia="仿宋_GB2312" w:hAnsi="Times New Roman"/>
                <w:color w:val="000000"/>
                <w:sz w:val="24"/>
              </w:rPr>
              <w:t>含浸出工艺的或者使用有机溶剂</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6</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蔬菜加工</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rPr>
                <w:rStyle w:val="NormalCharacter"/>
                <w:rFonts w:ascii="Times New Roman" w:eastAsia="仿宋_GB2312" w:hAnsi="Times New Roman"/>
                <w:color w:val="000000"/>
                <w:sz w:val="24"/>
              </w:rPr>
            </w:pPr>
            <w:r w:rsidRPr="00E04BFD">
              <w:rPr>
                <w:rFonts w:ascii="Times New Roman" w:eastAsia="仿宋_GB2312" w:hAnsi="Times New Roman"/>
                <w:color w:val="000000"/>
                <w:sz w:val="24"/>
              </w:rPr>
              <w:t>产生浓盐水的腌渍菜</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7</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屠宰</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年屠宰生猪</w:t>
            </w:r>
            <w:r w:rsidRPr="00E04BFD">
              <w:rPr>
                <w:rStyle w:val="NormalCharacter"/>
                <w:rFonts w:ascii="Times New Roman" w:eastAsia="仿宋_GB2312" w:hAnsi="Times New Roman"/>
                <w:color w:val="000000"/>
                <w:sz w:val="24"/>
              </w:rPr>
              <w:t>10</w:t>
            </w:r>
            <w:r w:rsidRPr="00E04BFD">
              <w:rPr>
                <w:rStyle w:val="NormalCharacter"/>
                <w:rFonts w:ascii="Times New Roman" w:eastAsia="仿宋_GB2312" w:hAnsi="Times New Roman"/>
                <w:color w:val="000000"/>
                <w:sz w:val="24"/>
              </w:rPr>
              <w:t>万头、肉牛</w:t>
            </w:r>
            <w:r w:rsidRPr="00E04BFD">
              <w:rPr>
                <w:rStyle w:val="NormalCharacter"/>
                <w:rFonts w:ascii="Times New Roman" w:eastAsia="仿宋_GB2312" w:hAnsi="Times New Roman"/>
                <w:color w:val="000000"/>
                <w:sz w:val="24"/>
              </w:rPr>
              <w:t>1</w:t>
            </w:r>
            <w:r w:rsidRPr="00E04BFD">
              <w:rPr>
                <w:rStyle w:val="NormalCharacter"/>
                <w:rFonts w:ascii="Times New Roman" w:eastAsia="仿宋_GB2312" w:hAnsi="Times New Roman"/>
                <w:color w:val="000000"/>
                <w:sz w:val="24"/>
              </w:rPr>
              <w:t>万头、肉羊</w:t>
            </w:r>
            <w:r w:rsidRPr="00E04BFD">
              <w:rPr>
                <w:rStyle w:val="NormalCharacter"/>
                <w:rFonts w:ascii="Times New Roman" w:eastAsia="仿宋_GB2312" w:hAnsi="Times New Roman"/>
                <w:color w:val="000000"/>
                <w:sz w:val="24"/>
              </w:rPr>
              <w:t>15</w:t>
            </w:r>
            <w:r w:rsidRPr="00E04BFD">
              <w:rPr>
                <w:rStyle w:val="NormalCharacter"/>
                <w:rFonts w:ascii="Times New Roman" w:eastAsia="仿宋_GB2312" w:hAnsi="Times New Roman"/>
                <w:color w:val="000000"/>
                <w:sz w:val="24"/>
              </w:rPr>
              <w:t>万只、禽类</w:t>
            </w:r>
            <w:r w:rsidRPr="00E04BFD">
              <w:rPr>
                <w:rStyle w:val="NormalCharacter"/>
                <w:rFonts w:ascii="Times New Roman" w:eastAsia="仿宋_GB2312" w:hAnsi="Times New Roman"/>
                <w:color w:val="000000"/>
                <w:sz w:val="24"/>
              </w:rPr>
              <w:t>1000</w:t>
            </w:r>
            <w:r w:rsidRPr="00E04BFD">
              <w:rPr>
                <w:rStyle w:val="NormalCharacter"/>
                <w:rFonts w:ascii="Times New Roman" w:eastAsia="仿宋_GB2312" w:hAnsi="Times New Roman"/>
                <w:color w:val="000000"/>
                <w:sz w:val="24"/>
              </w:rPr>
              <w:t>万只及以上；乡镇（含）以上带冻库和使用化学制冷剂的</w:t>
            </w:r>
          </w:p>
        </w:tc>
      </w:tr>
      <w:tr w:rsidR="00C1029C" w:rsidRPr="00E04BFD" w:rsidTr="003C712F">
        <w:trPr>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8</w:t>
            </w:r>
          </w:p>
        </w:tc>
        <w:tc>
          <w:tcPr>
            <w:tcW w:w="137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食品制造业</w:t>
            </w:r>
          </w:p>
          <w:p w:rsidR="00C1029C" w:rsidRPr="00E04BFD" w:rsidRDefault="00C1029C" w:rsidP="003C712F">
            <w:pPr>
              <w:topLinePunct/>
              <w:spacing w:line="40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C14</w:t>
            </w: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调味品、发酵制品制造</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含发酵工艺的味精、柠檬酸、赖氨酸制造</w:t>
            </w:r>
          </w:p>
        </w:tc>
      </w:tr>
      <w:tr w:rsidR="00C1029C" w:rsidRPr="00E04BFD" w:rsidTr="003C712F">
        <w:trPr>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9</w:t>
            </w:r>
          </w:p>
        </w:tc>
        <w:tc>
          <w:tcPr>
            <w:tcW w:w="137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酒、饮料</w:t>
            </w:r>
          </w:p>
          <w:p w:rsidR="00C1029C" w:rsidRPr="00E04BFD" w:rsidRDefault="00C1029C" w:rsidP="003C712F">
            <w:pPr>
              <w:topLinePunct/>
              <w:spacing w:line="40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制造业</w:t>
            </w:r>
          </w:p>
          <w:p w:rsidR="00C1029C" w:rsidRPr="00E04BFD" w:rsidRDefault="00C1029C" w:rsidP="003C712F">
            <w:pPr>
              <w:topLinePunct/>
              <w:spacing w:line="40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C15</w:t>
            </w: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酒精饮料及酒类制造</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有发酵工艺的（以水果或水果汁为原料年生产能力</w:t>
            </w:r>
            <w:r w:rsidRPr="00E04BFD">
              <w:rPr>
                <w:rStyle w:val="NormalCharacter"/>
                <w:rFonts w:ascii="Times New Roman" w:eastAsia="仿宋_GB2312" w:hAnsi="Times New Roman"/>
                <w:color w:val="000000"/>
                <w:sz w:val="24"/>
              </w:rPr>
              <w:t>1000</w:t>
            </w:r>
            <w:r w:rsidRPr="00E04BFD">
              <w:rPr>
                <w:rStyle w:val="NormalCharacter"/>
                <w:rFonts w:ascii="Times New Roman" w:eastAsia="仿宋_GB2312" w:hAnsi="Times New Roman"/>
                <w:color w:val="000000"/>
                <w:sz w:val="24"/>
              </w:rPr>
              <w:t>千升以下的除外）</w:t>
            </w:r>
          </w:p>
        </w:tc>
      </w:tr>
      <w:tr w:rsidR="00C1029C" w:rsidRPr="00E04BFD" w:rsidTr="003C712F">
        <w:trPr>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10</w:t>
            </w:r>
          </w:p>
        </w:tc>
        <w:tc>
          <w:tcPr>
            <w:tcW w:w="137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纺织业</w:t>
            </w:r>
          </w:p>
          <w:p w:rsidR="00C1029C" w:rsidRPr="00E04BFD" w:rsidRDefault="00C1029C" w:rsidP="003C712F">
            <w:pPr>
              <w:topLinePunct/>
              <w:spacing w:line="40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C17</w:t>
            </w: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纺织品制造</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有洗毛、染整、脱胶工段的；产生缫丝废水、精炼废水的</w:t>
            </w:r>
          </w:p>
        </w:tc>
      </w:tr>
      <w:tr w:rsidR="00C1029C" w:rsidRPr="00E04BFD" w:rsidTr="003C712F">
        <w:trPr>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11</w:t>
            </w:r>
          </w:p>
        </w:tc>
        <w:tc>
          <w:tcPr>
            <w:tcW w:w="137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纺织服装、</w:t>
            </w:r>
          </w:p>
          <w:p w:rsidR="00C1029C" w:rsidRPr="00E04BFD" w:rsidRDefault="00C1029C" w:rsidP="003C712F">
            <w:pPr>
              <w:topLinePunct/>
              <w:spacing w:line="40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服饰业</w:t>
            </w:r>
          </w:p>
          <w:p w:rsidR="00C1029C" w:rsidRPr="00E04BFD" w:rsidRDefault="00C1029C" w:rsidP="003C712F">
            <w:pPr>
              <w:topLinePunct/>
              <w:spacing w:line="40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C18</w:t>
            </w: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服装制造</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有湿法印花、染色、水洗工艺的；使用有机试剂的</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12</w:t>
            </w:r>
          </w:p>
        </w:tc>
        <w:tc>
          <w:tcPr>
            <w:tcW w:w="1379" w:type="dxa"/>
            <w:vMerge w:val="restart"/>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皮革、毛皮、羽毛及其制品和制鞋业</w:t>
            </w:r>
          </w:p>
          <w:p w:rsidR="00C1029C" w:rsidRPr="00E04BFD" w:rsidRDefault="00C1029C" w:rsidP="003C712F">
            <w:pPr>
              <w:topLinePunct/>
              <w:spacing w:line="40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C19</w:t>
            </w: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kern w:val="0"/>
                <w:sz w:val="24"/>
              </w:rPr>
              <w:t>皮革、毛皮、羽毛（绒）制品</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制革、毛皮鞣制</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13</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制鞋业</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使用有机溶剂、发泡剂等化学品的</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14</w:t>
            </w:r>
          </w:p>
        </w:tc>
        <w:tc>
          <w:tcPr>
            <w:tcW w:w="1379" w:type="dxa"/>
            <w:vMerge w:val="restart"/>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木材加工和</w:t>
            </w:r>
            <w:proofErr w:type="gramStart"/>
            <w:r w:rsidRPr="00E04BFD">
              <w:rPr>
                <w:rStyle w:val="NormalCharacter"/>
                <w:rFonts w:ascii="Times New Roman" w:eastAsia="仿宋_GB2312" w:hAnsi="Times New Roman"/>
                <w:color w:val="000000"/>
                <w:sz w:val="24"/>
              </w:rPr>
              <w:t>木、</w:t>
            </w:r>
            <w:proofErr w:type="gramEnd"/>
            <w:r w:rsidRPr="00E04BFD">
              <w:rPr>
                <w:rStyle w:val="NormalCharacter"/>
                <w:rFonts w:ascii="Times New Roman" w:eastAsia="仿宋_GB2312" w:hAnsi="Times New Roman"/>
                <w:color w:val="000000"/>
                <w:sz w:val="24"/>
              </w:rPr>
              <w:t>竹、藤、棕、草制品业</w:t>
            </w:r>
          </w:p>
          <w:p w:rsidR="00C1029C" w:rsidRPr="00E04BFD" w:rsidRDefault="00C1029C" w:rsidP="003C712F">
            <w:pPr>
              <w:topLinePunct/>
              <w:spacing w:line="37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lastRenderedPageBreak/>
              <w:t>C20</w:t>
            </w: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lastRenderedPageBreak/>
              <w:t>锯材、木片加工、木制品制造</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有电镀或喷漆工艺且年用油性漆量（含稀释剂）</w:t>
            </w:r>
            <w:r w:rsidRPr="00E04BFD">
              <w:rPr>
                <w:rStyle w:val="NormalCharacter"/>
                <w:rFonts w:ascii="Times New Roman" w:eastAsia="仿宋_GB2312" w:hAnsi="Times New Roman"/>
                <w:color w:val="000000"/>
                <w:sz w:val="24"/>
              </w:rPr>
              <w:t>10</w:t>
            </w:r>
            <w:r w:rsidRPr="00E04BFD">
              <w:rPr>
                <w:rStyle w:val="NormalCharacter"/>
                <w:rFonts w:ascii="Times New Roman" w:eastAsia="仿宋_GB2312" w:hAnsi="Times New Roman"/>
                <w:color w:val="000000"/>
                <w:sz w:val="24"/>
              </w:rPr>
              <w:t>吨及以上的</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lastRenderedPageBreak/>
              <w:t>15</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人造板制造</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年产</w:t>
            </w:r>
            <w:r w:rsidRPr="00E04BFD">
              <w:rPr>
                <w:rStyle w:val="NormalCharacter"/>
                <w:rFonts w:ascii="Times New Roman" w:eastAsia="仿宋_GB2312" w:hAnsi="Times New Roman"/>
                <w:color w:val="000000"/>
                <w:sz w:val="24"/>
              </w:rPr>
              <w:t>20</w:t>
            </w:r>
            <w:r w:rsidRPr="00E04BFD">
              <w:rPr>
                <w:rStyle w:val="NormalCharacter"/>
                <w:rFonts w:ascii="Times New Roman" w:eastAsia="仿宋_GB2312" w:hAnsi="Times New Roman"/>
                <w:color w:val="000000"/>
                <w:sz w:val="24"/>
              </w:rPr>
              <w:t>万立方米及以上</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lastRenderedPageBreak/>
              <w:t>16</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kern w:val="0"/>
                <w:sz w:val="24"/>
              </w:rPr>
              <w:t>竹、藤、棕、草制品制造</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有喷漆工艺且年用油性漆量（含稀释剂）</w:t>
            </w:r>
            <w:r w:rsidRPr="00E04BFD">
              <w:rPr>
                <w:rStyle w:val="NormalCharacter"/>
                <w:rFonts w:ascii="Times New Roman" w:eastAsia="仿宋_GB2312" w:hAnsi="Times New Roman"/>
                <w:color w:val="000000"/>
                <w:sz w:val="24"/>
              </w:rPr>
              <w:t>10</w:t>
            </w:r>
            <w:r w:rsidRPr="00E04BFD">
              <w:rPr>
                <w:rStyle w:val="NormalCharacter"/>
                <w:rFonts w:ascii="Times New Roman" w:eastAsia="仿宋_GB2312" w:hAnsi="Times New Roman"/>
                <w:color w:val="000000"/>
                <w:sz w:val="24"/>
              </w:rPr>
              <w:t>吨及以上的</w:t>
            </w:r>
          </w:p>
        </w:tc>
      </w:tr>
      <w:tr w:rsidR="00C1029C" w:rsidRPr="00E04BFD" w:rsidTr="003C712F">
        <w:trPr>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17</w:t>
            </w:r>
          </w:p>
        </w:tc>
        <w:tc>
          <w:tcPr>
            <w:tcW w:w="137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家具制造业</w:t>
            </w:r>
          </w:p>
          <w:p w:rsidR="00C1029C" w:rsidRPr="00E04BFD" w:rsidRDefault="00C1029C" w:rsidP="003C712F">
            <w:pPr>
              <w:topLinePunct/>
              <w:spacing w:line="37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C21</w:t>
            </w: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家具制造</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有电镀或喷漆工艺且年用油性漆量（含稀释剂）</w:t>
            </w:r>
            <w:r w:rsidRPr="00E04BFD">
              <w:rPr>
                <w:rStyle w:val="NormalCharacter"/>
                <w:rFonts w:ascii="Times New Roman" w:eastAsia="仿宋_GB2312" w:hAnsi="Times New Roman"/>
                <w:color w:val="000000"/>
                <w:sz w:val="24"/>
              </w:rPr>
              <w:t>10</w:t>
            </w:r>
            <w:r w:rsidRPr="00E04BFD">
              <w:rPr>
                <w:rStyle w:val="NormalCharacter"/>
                <w:rFonts w:ascii="Times New Roman" w:eastAsia="仿宋_GB2312" w:hAnsi="Times New Roman"/>
                <w:color w:val="000000"/>
                <w:sz w:val="24"/>
              </w:rPr>
              <w:t>吨及以上的</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18</w:t>
            </w:r>
          </w:p>
        </w:tc>
        <w:tc>
          <w:tcPr>
            <w:tcW w:w="1379" w:type="dxa"/>
            <w:vMerge w:val="restart"/>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造纸</w:t>
            </w:r>
            <w:proofErr w:type="gramStart"/>
            <w:r w:rsidRPr="00E04BFD">
              <w:rPr>
                <w:rStyle w:val="NormalCharacter"/>
                <w:rFonts w:ascii="Times New Roman" w:eastAsia="仿宋_GB2312" w:hAnsi="Times New Roman"/>
                <w:color w:val="000000"/>
                <w:sz w:val="24"/>
              </w:rPr>
              <w:t>和</w:t>
            </w:r>
            <w:proofErr w:type="gramEnd"/>
          </w:p>
          <w:p w:rsidR="00C1029C" w:rsidRPr="00E04BFD" w:rsidRDefault="00C1029C" w:rsidP="003C712F">
            <w:pPr>
              <w:topLinePunct/>
              <w:spacing w:line="37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纸制品业</w:t>
            </w:r>
          </w:p>
          <w:p w:rsidR="00C1029C" w:rsidRPr="00E04BFD" w:rsidRDefault="00C1029C" w:rsidP="003C712F">
            <w:pPr>
              <w:topLinePunct/>
              <w:spacing w:line="37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C22</w:t>
            </w: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kern w:val="0"/>
                <w:sz w:val="24"/>
              </w:rPr>
              <w:t>纸浆、溶解浆、纤维浆等制造；造纸（含废纸造纸）</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全部</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19</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纸制品制造</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有化学处理工艺的</w:t>
            </w:r>
          </w:p>
        </w:tc>
      </w:tr>
      <w:tr w:rsidR="00C1029C" w:rsidRPr="00E04BFD" w:rsidTr="003C712F">
        <w:trPr>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20</w:t>
            </w:r>
          </w:p>
        </w:tc>
        <w:tc>
          <w:tcPr>
            <w:tcW w:w="137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印刷业</w:t>
            </w:r>
          </w:p>
          <w:p w:rsidR="00C1029C" w:rsidRPr="00E04BFD" w:rsidRDefault="00C1029C" w:rsidP="003C712F">
            <w:pPr>
              <w:topLinePunct/>
              <w:spacing w:line="37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C23</w:t>
            </w: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印刷厂</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使用水性油墨的除外</w:t>
            </w:r>
          </w:p>
        </w:tc>
      </w:tr>
      <w:tr w:rsidR="00C1029C" w:rsidRPr="00E04BFD" w:rsidTr="003C712F">
        <w:trPr>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21</w:t>
            </w:r>
          </w:p>
        </w:tc>
        <w:tc>
          <w:tcPr>
            <w:tcW w:w="137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文教、工美</w:t>
            </w:r>
          </w:p>
          <w:p w:rsidR="00C1029C" w:rsidRPr="00E04BFD" w:rsidRDefault="00C1029C" w:rsidP="003C712F">
            <w:pPr>
              <w:topLinePunct/>
              <w:spacing w:line="37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用品制造</w:t>
            </w:r>
          </w:p>
          <w:p w:rsidR="00C1029C" w:rsidRPr="00E04BFD" w:rsidRDefault="00C1029C" w:rsidP="003C712F">
            <w:pPr>
              <w:topLinePunct/>
              <w:spacing w:line="37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C24</w:t>
            </w: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工艺品制造</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有电镀或喷漆工艺且年用油性漆量（含稀释剂）</w:t>
            </w:r>
            <w:r w:rsidRPr="00E04BFD">
              <w:rPr>
                <w:rStyle w:val="NormalCharacter"/>
                <w:rFonts w:ascii="Times New Roman" w:eastAsia="仿宋_GB2312" w:hAnsi="Times New Roman"/>
                <w:color w:val="000000"/>
                <w:sz w:val="24"/>
              </w:rPr>
              <w:t>10</w:t>
            </w:r>
            <w:r w:rsidRPr="00E04BFD">
              <w:rPr>
                <w:rStyle w:val="NormalCharacter"/>
                <w:rFonts w:ascii="Times New Roman" w:eastAsia="仿宋_GB2312" w:hAnsi="Times New Roman"/>
                <w:color w:val="000000"/>
                <w:sz w:val="24"/>
              </w:rPr>
              <w:t>吨及以上的</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22</w:t>
            </w:r>
          </w:p>
        </w:tc>
        <w:tc>
          <w:tcPr>
            <w:tcW w:w="1379" w:type="dxa"/>
            <w:vMerge w:val="restart"/>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石油加工、</w:t>
            </w:r>
          </w:p>
          <w:p w:rsidR="00C1029C" w:rsidRPr="00E04BFD" w:rsidRDefault="00C1029C" w:rsidP="003C712F">
            <w:pPr>
              <w:topLinePunct/>
              <w:spacing w:line="37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炼焦业</w:t>
            </w:r>
          </w:p>
          <w:p w:rsidR="00C1029C" w:rsidRPr="00E04BFD" w:rsidRDefault="00C1029C" w:rsidP="003C712F">
            <w:pPr>
              <w:topLinePunct/>
              <w:spacing w:line="37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C25</w:t>
            </w: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原油加工、天然气加工、油母页岩等提炼原油、煤制油、生物制油及其他石油制品</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全部</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23</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煤化工（含煤炭液化、气化）</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全部</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24</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炼焦、煤炭热解、电石</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全部</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25</w:t>
            </w:r>
          </w:p>
        </w:tc>
        <w:tc>
          <w:tcPr>
            <w:tcW w:w="1379" w:type="dxa"/>
            <w:vMerge w:val="restart"/>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化学原料和化学制品制造业</w:t>
            </w:r>
          </w:p>
          <w:p w:rsidR="00C1029C" w:rsidRPr="00E04BFD" w:rsidRDefault="00C1029C" w:rsidP="003C712F">
            <w:pPr>
              <w:topLinePunct/>
              <w:spacing w:line="37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C26</w:t>
            </w: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基本化学原料制造；农药制造；涂料、染料、颜料、油墨及其类似产品制造；合成材料制造；专用化学品制造；炸药、火工及焰火产品制造；水处理剂等制造</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全部</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26</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肥料制造</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kern w:val="0"/>
                <w:sz w:val="24"/>
              </w:rPr>
              <w:t>化学肥料（除单纯混合和封装外的）</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27</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半导体材料</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全部</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28</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日用化学品制造</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kern w:val="0"/>
                <w:sz w:val="24"/>
              </w:rPr>
              <w:t>除单纯混合和分装外的</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29</w:t>
            </w:r>
          </w:p>
        </w:tc>
        <w:tc>
          <w:tcPr>
            <w:tcW w:w="1379" w:type="dxa"/>
            <w:vMerge w:val="restart"/>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医药制造业</w:t>
            </w:r>
          </w:p>
          <w:p w:rsidR="00C1029C" w:rsidRPr="00E04BFD" w:rsidRDefault="00C1029C" w:rsidP="003C712F">
            <w:pPr>
              <w:topLinePunct/>
              <w:spacing w:line="37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C27</w:t>
            </w: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化学药品制造；生物、生化制品制造</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全部</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30</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kern w:val="0"/>
                <w:sz w:val="24"/>
              </w:rPr>
              <w:t>中成药制造、中药饮片加工</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6"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有提炼工艺的</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31</w:t>
            </w:r>
          </w:p>
        </w:tc>
        <w:tc>
          <w:tcPr>
            <w:tcW w:w="1379" w:type="dxa"/>
            <w:vMerge w:val="restart"/>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化学纤维</w:t>
            </w:r>
          </w:p>
          <w:p w:rsidR="00C1029C" w:rsidRPr="00E04BFD" w:rsidRDefault="00C1029C" w:rsidP="003C712F">
            <w:pPr>
              <w:topLinePunct/>
              <w:spacing w:line="352"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lastRenderedPageBreak/>
              <w:t>制造业</w:t>
            </w:r>
          </w:p>
          <w:p w:rsidR="00C1029C" w:rsidRPr="00E04BFD" w:rsidRDefault="00C1029C" w:rsidP="003C712F">
            <w:pPr>
              <w:topLinePunct/>
              <w:spacing w:line="352"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C28</w:t>
            </w: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kern w:val="0"/>
                <w:sz w:val="24"/>
              </w:rPr>
              <w:lastRenderedPageBreak/>
              <w:t>化学纤维制造</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除单纯纺丝外的</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lastRenderedPageBreak/>
              <w:t>32</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kern w:val="0"/>
                <w:sz w:val="24"/>
              </w:rPr>
              <w:t>生物质纤维素乙醇生产</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全部</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lastRenderedPageBreak/>
              <w:t>33</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使用液氨的企业</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全部</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34</w:t>
            </w:r>
          </w:p>
        </w:tc>
        <w:tc>
          <w:tcPr>
            <w:tcW w:w="1379" w:type="dxa"/>
            <w:vMerge w:val="restart"/>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橡胶和塑料制品业</w:t>
            </w:r>
          </w:p>
          <w:p w:rsidR="00C1029C" w:rsidRPr="00E04BFD" w:rsidRDefault="00C1029C" w:rsidP="003C712F">
            <w:pPr>
              <w:topLinePunct/>
              <w:spacing w:line="352"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C29</w:t>
            </w: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kern w:val="0"/>
                <w:sz w:val="24"/>
              </w:rPr>
              <w:t>轮胎制造（有炼化及硫化工艺的）、再生橡胶制造、橡胶加工、橡胶制品制造及翻新</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全部</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35</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塑料制品制造</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人造革、发泡胶等涉及有毒原材料的，以再生塑料为原料的，有电镀或喷漆工艺且年用油性漆量（含稀释剂）</w:t>
            </w:r>
            <w:r w:rsidRPr="00E04BFD">
              <w:rPr>
                <w:rStyle w:val="NormalCharacter"/>
                <w:rFonts w:ascii="Times New Roman" w:eastAsia="仿宋_GB2312" w:hAnsi="Times New Roman"/>
                <w:color w:val="000000"/>
                <w:sz w:val="24"/>
              </w:rPr>
              <w:t>10</w:t>
            </w:r>
            <w:r w:rsidRPr="00E04BFD">
              <w:rPr>
                <w:rStyle w:val="NormalCharacter"/>
                <w:rFonts w:ascii="Times New Roman" w:eastAsia="仿宋_GB2312" w:hAnsi="Times New Roman"/>
                <w:color w:val="000000"/>
                <w:sz w:val="24"/>
              </w:rPr>
              <w:t>吨及以上的</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36</w:t>
            </w:r>
          </w:p>
        </w:tc>
        <w:tc>
          <w:tcPr>
            <w:tcW w:w="1379" w:type="dxa"/>
            <w:vMerge w:val="restart"/>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非金属矿物制品业</w:t>
            </w:r>
          </w:p>
          <w:p w:rsidR="00C1029C" w:rsidRPr="00E04BFD" w:rsidRDefault="00C1029C" w:rsidP="003C712F">
            <w:pPr>
              <w:topLinePunct/>
              <w:spacing w:line="352"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C30</w:t>
            </w: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水泥制造</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全部</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37</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玻璃及玻璃制品业</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平板及特种玻璃制造</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38</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kern w:val="0"/>
                <w:sz w:val="24"/>
              </w:rPr>
              <w:t>玻璃纤维</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全部</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39</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陶瓷制品</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rPr>
                <w:rStyle w:val="NormalCharacter"/>
                <w:rFonts w:ascii="Times New Roman" w:eastAsia="仿宋_GB2312" w:hAnsi="Times New Roman"/>
                <w:color w:val="000000"/>
                <w:sz w:val="24"/>
              </w:rPr>
            </w:pPr>
            <w:r w:rsidRPr="00E04BFD">
              <w:rPr>
                <w:rFonts w:ascii="Times New Roman" w:eastAsia="仿宋_GB2312" w:hAnsi="Times New Roman"/>
                <w:color w:val="000000"/>
                <w:sz w:val="24"/>
              </w:rPr>
              <w:t>使用煤气的</w:t>
            </w:r>
            <w:r w:rsidRPr="00E04BFD">
              <w:rPr>
                <w:rStyle w:val="NormalCharacter"/>
                <w:rFonts w:ascii="Times New Roman" w:eastAsia="仿宋_GB2312" w:hAnsi="Times New Roman"/>
                <w:color w:val="000000"/>
                <w:sz w:val="24"/>
              </w:rPr>
              <w:t>/</w:t>
            </w:r>
            <w:r w:rsidRPr="00E04BFD">
              <w:rPr>
                <w:rStyle w:val="NormalCharacter"/>
                <w:rFonts w:ascii="Times New Roman" w:eastAsia="仿宋_GB2312" w:hAnsi="Times New Roman"/>
                <w:color w:val="000000"/>
                <w:sz w:val="24"/>
              </w:rPr>
              <w:t>有施釉工序的</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40</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rPr>
                <w:rStyle w:val="NormalCharacter"/>
                <w:rFonts w:ascii="Times New Roman" w:eastAsia="仿宋_GB2312" w:hAnsi="Times New Roman"/>
                <w:strike/>
                <w:color w:val="000000"/>
                <w:sz w:val="24"/>
              </w:rPr>
            </w:pPr>
            <w:r w:rsidRPr="00E04BFD">
              <w:rPr>
                <w:rStyle w:val="NormalCharacter"/>
                <w:rFonts w:ascii="Times New Roman" w:eastAsia="仿宋_GB2312" w:hAnsi="Times New Roman"/>
                <w:color w:val="000000"/>
                <w:sz w:val="24"/>
              </w:rPr>
              <w:t>耐火材料及其制品</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石棉制品</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41</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kern w:val="0"/>
                <w:sz w:val="24"/>
              </w:rPr>
              <w:t>石墨及其他非金属矿物制品</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kern w:val="0"/>
                <w:sz w:val="24"/>
              </w:rPr>
              <w:t>含焙烧的石墨、碳素制品</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kern w:val="0"/>
                <w:sz w:val="24"/>
              </w:rPr>
              <w:t>42</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rPr>
                <w:rStyle w:val="NormalCharacter"/>
                <w:rFonts w:ascii="Times New Roman" w:eastAsia="仿宋_GB2312" w:hAnsi="Times New Roman"/>
                <w:color w:val="000000"/>
                <w:sz w:val="24"/>
              </w:rPr>
            </w:pPr>
            <w:r w:rsidRPr="00E04BFD">
              <w:rPr>
                <w:rFonts w:ascii="Times New Roman" w:eastAsia="仿宋_GB2312" w:hAnsi="Times New Roman"/>
                <w:color w:val="000000"/>
                <w:sz w:val="24"/>
              </w:rPr>
              <w:t>防水建筑材料制造、沥青搅拌站</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指以沥青或类似材料为主要原料制造防水材料的</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kern w:val="0"/>
                <w:sz w:val="24"/>
              </w:rPr>
              <w:t>43</w:t>
            </w:r>
          </w:p>
        </w:tc>
        <w:tc>
          <w:tcPr>
            <w:tcW w:w="1379" w:type="dxa"/>
            <w:vMerge w:val="restart"/>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黑色金属冶炼和压延</w:t>
            </w:r>
          </w:p>
          <w:p w:rsidR="00C1029C" w:rsidRPr="00E04BFD" w:rsidRDefault="00C1029C" w:rsidP="003C712F">
            <w:pPr>
              <w:topLinePunct/>
              <w:spacing w:line="352"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加工业</w:t>
            </w:r>
          </w:p>
          <w:p w:rsidR="00C1029C" w:rsidRPr="00E04BFD" w:rsidRDefault="00C1029C" w:rsidP="003C712F">
            <w:pPr>
              <w:topLinePunct/>
              <w:spacing w:line="352"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C31</w:t>
            </w: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kern w:val="0"/>
                <w:sz w:val="24"/>
              </w:rPr>
              <w:t>炼铁、球团、烧结</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全部</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44</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kern w:val="0"/>
                <w:sz w:val="24"/>
              </w:rPr>
              <w:t>炼钢</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全部</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6" w:lineRule="exact"/>
              <w:jc w:val="center"/>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sz w:val="24"/>
              </w:rPr>
              <w:t>45</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jc w:val="center"/>
              <w:rPr>
                <w:rStyle w:val="NormalCharacter"/>
                <w:rFonts w:ascii="Times New Roman" w:eastAsia="仿宋_GB2312" w:hAnsi="Times New Roman"/>
                <w:color w:val="000000"/>
                <w:kern w:val="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黑色金属铸造</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年产</w:t>
            </w:r>
            <w:r w:rsidRPr="00E04BFD">
              <w:rPr>
                <w:rStyle w:val="NormalCharacter"/>
                <w:rFonts w:ascii="Times New Roman" w:eastAsia="仿宋_GB2312" w:hAnsi="Times New Roman"/>
                <w:color w:val="000000"/>
                <w:sz w:val="24"/>
              </w:rPr>
              <w:t>10</w:t>
            </w:r>
            <w:r w:rsidRPr="00E04BFD">
              <w:rPr>
                <w:rStyle w:val="NormalCharacter"/>
                <w:rFonts w:ascii="Times New Roman" w:eastAsia="仿宋_GB2312" w:hAnsi="Times New Roman"/>
                <w:color w:val="000000"/>
                <w:sz w:val="24"/>
              </w:rPr>
              <w:t>万吨及以上</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6" w:lineRule="exact"/>
              <w:jc w:val="center"/>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sz w:val="24"/>
              </w:rPr>
              <w:t>46</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jc w:val="center"/>
              <w:rPr>
                <w:rStyle w:val="NormalCharacter"/>
                <w:rFonts w:ascii="Times New Roman" w:eastAsia="仿宋_GB2312" w:hAnsi="Times New Roman"/>
                <w:color w:val="000000"/>
                <w:kern w:val="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压延加工</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黑色金属年产</w:t>
            </w:r>
            <w:r w:rsidRPr="00E04BFD">
              <w:rPr>
                <w:rStyle w:val="NormalCharacter"/>
                <w:rFonts w:ascii="Times New Roman" w:eastAsia="仿宋_GB2312" w:hAnsi="Times New Roman"/>
                <w:color w:val="000000"/>
                <w:sz w:val="24"/>
              </w:rPr>
              <w:t>50</w:t>
            </w:r>
            <w:r w:rsidRPr="00E04BFD">
              <w:rPr>
                <w:rStyle w:val="NormalCharacter"/>
                <w:rFonts w:ascii="Times New Roman" w:eastAsia="仿宋_GB2312" w:hAnsi="Times New Roman"/>
                <w:color w:val="000000"/>
                <w:sz w:val="24"/>
              </w:rPr>
              <w:t>万吨及以上的冷轧</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47</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铁合金制造；锰、铬冶炼</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全部</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48</w:t>
            </w:r>
          </w:p>
        </w:tc>
        <w:tc>
          <w:tcPr>
            <w:tcW w:w="1379" w:type="dxa"/>
            <w:vMerge w:val="restart"/>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有色金属冶炼和压延</w:t>
            </w:r>
          </w:p>
          <w:p w:rsidR="00C1029C" w:rsidRPr="00E04BFD" w:rsidRDefault="00C1029C" w:rsidP="003C712F">
            <w:pPr>
              <w:topLinePunct/>
              <w:spacing w:line="352"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加工业</w:t>
            </w:r>
          </w:p>
          <w:p w:rsidR="00C1029C" w:rsidRPr="00E04BFD" w:rsidRDefault="00C1029C" w:rsidP="003C712F">
            <w:pPr>
              <w:topLinePunct/>
              <w:spacing w:line="352"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C32</w:t>
            </w: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有色金属冶炼（含再生有色金属冶炼）</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全部</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49</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有色金属合金制造</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全部</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50</w:t>
            </w:r>
          </w:p>
        </w:tc>
        <w:tc>
          <w:tcPr>
            <w:tcW w:w="1379" w:type="dxa"/>
            <w:vMerge w:val="restart"/>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金属制品业</w:t>
            </w:r>
          </w:p>
          <w:p w:rsidR="00C1029C" w:rsidRPr="00E04BFD" w:rsidRDefault="00C1029C" w:rsidP="003C712F">
            <w:pPr>
              <w:topLinePunct/>
              <w:spacing w:line="352"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C33</w:t>
            </w: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金属制品加工制造</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有电镀或喷漆工艺</w:t>
            </w:r>
            <w:r w:rsidRPr="00E04BFD">
              <w:rPr>
                <w:rFonts w:ascii="Times New Roman" w:eastAsia="仿宋_GB2312" w:hAnsi="Times New Roman"/>
                <w:color w:val="000000"/>
                <w:sz w:val="24"/>
              </w:rPr>
              <w:t>且年用油</w:t>
            </w:r>
            <w:r w:rsidRPr="00E04BFD">
              <w:rPr>
                <w:rFonts w:ascii="Times New Roman" w:eastAsia="仿宋_GB2312" w:hAnsi="Times New Roman"/>
                <w:color w:val="000000"/>
                <w:spacing w:val="-14"/>
                <w:sz w:val="24"/>
              </w:rPr>
              <w:t>性漆量（含稀释剂）</w:t>
            </w:r>
            <w:r w:rsidRPr="00E04BFD">
              <w:rPr>
                <w:rFonts w:ascii="Times New Roman" w:eastAsia="仿宋_GB2312" w:hAnsi="Times New Roman"/>
                <w:color w:val="000000"/>
                <w:spacing w:val="-14"/>
                <w:sz w:val="24"/>
              </w:rPr>
              <w:t>10</w:t>
            </w:r>
            <w:r w:rsidRPr="00E04BFD">
              <w:rPr>
                <w:rFonts w:ascii="Times New Roman" w:eastAsia="仿宋_GB2312" w:hAnsi="Times New Roman"/>
                <w:color w:val="000000"/>
                <w:spacing w:val="-14"/>
                <w:sz w:val="24"/>
              </w:rPr>
              <w:t>吨及以上的</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51</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金属制品表面处理及热处理加工</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全部</w:t>
            </w:r>
          </w:p>
        </w:tc>
      </w:tr>
      <w:tr w:rsidR="00C1029C" w:rsidRPr="00E04BFD" w:rsidTr="003C712F">
        <w:trPr>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52</w:t>
            </w:r>
          </w:p>
        </w:tc>
        <w:tc>
          <w:tcPr>
            <w:tcW w:w="137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通用设备</w:t>
            </w:r>
          </w:p>
          <w:p w:rsidR="00C1029C" w:rsidRPr="00E04BFD" w:rsidRDefault="00C1029C" w:rsidP="003C712F">
            <w:pPr>
              <w:topLinePunct/>
              <w:spacing w:line="352"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制造业</w:t>
            </w:r>
          </w:p>
          <w:p w:rsidR="00C1029C" w:rsidRPr="00E04BFD" w:rsidRDefault="00C1029C" w:rsidP="003C712F">
            <w:pPr>
              <w:topLinePunct/>
              <w:spacing w:line="352"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C34</w:t>
            </w: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通用设备制造及维修</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有电镀或喷漆工艺且年用油性漆量（含稀释剂）</w:t>
            </w:r>
            <w:r w:rsidRPr="00E04BFD">
              <w:rPr>
                <w:rStyle w:val="NormalCharacter"/>
                <w:rFonts w:ascii="Times New Roman" w:eastAsia="仿宋_GB2312" w:hAnsi="Times New Roman"/>
                <w:color w:val="000000"/>
                <w:sz w:val="24"/>
              </w:rPr>
              <w:t>10</w:t>
            </w:r>
            <w:r w:rsidRPr="00E04BFD">
              <w:rPr>
                <w:rStyle w:val="NormalCharacter"/>
                <w:rFonts w:ascii="Times New Roman" w:eastAsia="仿宋_GB2312" w:hAnsi="Times New Roman"/>
                <w:color w:val="000000"/>
                <w:sz w:val="24"/>
              </w:rPr>
              <w:t>吨及以上的行业</w:t>
            </w:r>
          </w:p>
        </w:tc>
      </w:tr>
      <w:tr w:rsidR="00C1029C" w:rsidRPr="00E04BFD" w:rsidTr="003C712F">
        <w:trPr>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6"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lastRenderedPageBreak/>
              <w:t>53</w:t>
            </w:r>
          </w:p>
        </w:tc>
        <w:tc>
          <w:tcPr>
            <w:tcW w:w="137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专用设备</w:t>
            </w:r>
          </w:p>
          <w:p w:rsidR="00C1029C" w:rsidRPr="00E04BFD" w:rsidRDefault="00C1029C" w:rsidP="003C712F">
            <w:pPr>
              <w:topLinePunct/>
              <w:spacing w:line="352"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制造业</w:t>
            </w:r>
          </w:p>
          <w:p w:rsidR="00C1029C" w:rsidRPr="00E04BFD" w:rsidRDefault="00C1029C" w:rsidP="003C712F">
            <w:pPr>
              <w:topLinePunct/>
              <w:spacing w:line="352"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C35</w:t>
            </w: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kern w:val="0"/>
                <w:sz w:val="24"/>
              </w:rPr>
              <w:t>专用设备制造及维修</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52"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有电镀或喷漆工艺且年用油性漆量（含稀释剂）</w:t>
            </w:r>
            <w:r w:rsidRPr="00E04BFD">
              <w:rPr>
                <w:rStyle w:val="NormalCharacter"/>
                <w:rFonts w:ascii="Times New Roman" w:eastAsia="仿宋_GB2312" w:hAnsi="Times New Roman"/>
                <w:color w:val="000000"/>
                <w:sz w:val="24"/>
              </w:rPr>
              <w:t>10</w:t>
            </w:r>
            <w:r w:rsidRPr="00E04BFD">
              <w:rPr>
                <w:rStyle w:val="NormalCharacter"/>
                <w:rFonts w:ascii="Times New Roman" w:eastAsia="仿宋_GB2312" w:hAnsi="Times New Roman"/>
                <w:color w:val="000000"/>
                <w:sz w:val="24"/>
              </w:rPr>
              <w:t>吨及以上的行业</w:t>
            </w:r>
          </w:p>
        </w:tc>
      </w:tr>
      <w:tr w:rsidR="00C1029C" w:rsidRPr="00E04BFD" w:rsidTr="003C712F">
        <w:trPr>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54</w:t>
            </w:r>
          </w:p>
        </w:tc>
        <w:tc>
          <w:tcPr>
            <w:tcW w:w="137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汽车制造业</w:t>
            </w:r>
          </w:p>
          <w:p w:rsidR="00C1029C" w:rsidRPr="00E04BFD" w:rsidRDefault="00C1029C" w:rsidP="003C712F">
            <w:pPr>
              <w:topLinePunct/>
              <w:spacing w:line="37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C36</w:t>
            </w: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汽车制造</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有电镀或喷漆工艺且年用油性漆量（含稀释剂）</w:t>
            </w:r>
            <w:r w:rsidRPr="00E04BFD">
              <w:rPr>
                <w:rStyle w:val="NormalCharacter"/>
                <w:rFonts w:ascii="Times New Roman" w:eastAsia="仿宋_GB2312" w:hAnsi="Times New Roman"/>
                <w:color w:val="000000"/>
                <w:sz w:val="24"/>
              </w:rPr>
              <w:t>10</w:t>
            </w:r>
            <w:r w:rsidRPr="00E04BFD">
              <w:rPr>
                <w:rStyle w:val="NormalCharacter"/>
                <w:rFonts w:ascii="Times New Roman" w:eastAsia="仿宋_GB2312" w:hAnsi="Times New Roman"/>
                <w:color w:val="000000"/>
                <w:sz w:val="24"/>
              </w:rPr>
              <w:t>吨及以上的行业</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55</w:t>
            </w:r>
          </w:p>
        </w:tc>
        <w:tc>
          <w:tcPr>
            <w:tcW w:w="1379" w:type="dxa"/>
            <w:vMerge w:val="restart"/>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铁路、船舶、航空航天和其他运输设备制造业</w:t>
            </w:r>
          </w:p>
          <w:p w:rsidR="00C1029C" w:rsidRPr="00E04BFD" w:rsidRDefault="00C1029C" w:rsidP="003C712F">
            <w:pPr>
              <w:topLinePunct/>
              <w:spacing w:line="37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C37</w:t>
            </w: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kern w:val="0"/>
                <w:sz w:val="24"/>
              </w:rPr>
              <w:t>铁路运输设备制造及修理</w:t>
            </w:r>
          </w:p>
        </w:tc>
        <w:tc>
          <w:tcPr>
            <w:tcW w:w="3128" w:type="dxa"/>
            <w:vMerge w:val="restart"/>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有电镀或喷漆工艺且年用油性漆量（含稀释剂）</w:t>
            </w:r>
            <w:r w:rsidRPr="00E04BFD">
              <w:rPr>
                <w:rStyle w:val="NormalCharacter"/>
                <w:rFonts w:ascii="Times New Roman" w:eastAsia="仿宋_GB2312" w:hAnsi="Times New Roman"/>
                <w:color w:val="000000"/>
                <w:sz w:val="24"/>
              </w:rPr>
              <w:t>10</w:t>
            </w:r>
            <w:r w:rsidRPr="00E04BFD">
              <w:rPr>
                <w:rStyle w:val="NormalCharacter"/>
                <w:rFonts w:ascii="Times New Roman" w:eastAsia="仿宋_GB2312" w:hAnsi="Times New Roman"/>
                <w:color w:val="000000"/>
                <w:sz w:val="24"/>
              </w:rPr>
              <w:t>吨及以上的行业</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56</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0"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kern w:val="0"/>
                <w:sz w:val="24"/>
              </w:rPr>
              <w:t>船舶和相关装置制造及维修</w:t>
            </w:r>
          </w:p>
        </w:tc>
        <w:tc>
          <w:tcPr>
            <w:tcW w:w="3128"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0" w:lineRule="exact"/>
              <w:rPr>
                <w:rStyle w:val="NormalCharacter"/>
                <w:rFonts w:ascii="Times New Roman" w:eastAsia="仿宋_GB2312" w:hAnsi="Times New Roman"/>
                <w:color w:val="000000"/>
                <w:sz w:val="24"/>
              </w:rPr>
            </w:pP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57</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0"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kern w:val="0"/>
                <w:sz w:val="24"/>
              </w:rPr>
              <w:t>航空航天器制造</w:t>
            </w:r>
          </w:p>
        </w:tc>
        <w:tc>
          <w:tcPr>
            <w:tcW w:w="3128"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0" w:lineRule="exact"/>
              <w:rPr>
                <w:rStyle w:val="NormalCharacter"/>
                <w:rFonts w:ascii="Times New Roman" w:eastAsia="仿宋_GB2312" w:hAnsi="Times New Roman"/>
                <w:color w:val="000000"/>
                <w:sz w:val="24"/>
              </w:rPr>
            </w:pP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58</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0"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kern w:val="0"/>
                <w:sz w:val="24"/>
              </w:rPr>
              <w:t>摩托车制造</w:t>
            </w:r>
          </w:p>
        </w:tc>
        <w:tc>
          <w:tcPr>
            <w:tcW w:w="3128"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0" w:lineRule="exact"/>
              <w:rPr>
                <w:rStyle w:val="NormalCharacter"/>
                <w:rFonts w:ascii="Times New Roman" w:eastAsia="仿宋_GB2312" w:hAnsi="Times New Roman"/>
                <w:color w:val="000000"/>
                <w:sz w:val="24"/>
              </w:rPr>
            </w:pP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59</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0"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kern w:val="0"/>
                <w:sz w:val="24"/>
              </w:rPr>
              <w:t>自行车制造</w:t>
            </w:r>
          </w:p>
        </w:tc>
        <w:tc>
          <w:tcPr>
            <w:tcW w:w="3128"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0" w:lineRule="exact"/>
              <w:rPr>
                <w:rStyle w:val="NormalCharacter"/>
                <w:rFonts w:ascii="Times New Roman" w:eastAsia="仿宋_GB2312" w:hAnsi="Times New Roman"/>
                <w:color w:val="000000"/>
                <w:sz w:val="24"/>
              </w:rPr>
            </w:pP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60</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0"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0" w:lineRule="exact"/>
              <w:rPr>
                <w:rStyle w:val="NormalCharacter"/>
                <w:rFonts w:ascii="Times New Roman" w:eastAsia="仿宋_GB2312" w:hAnsi="Times New Roman"/>
                <w:color w:val="000000"/>
                <w:spacing w:val="-8"/>
                <w:sz w:val="24"/>
              </w:rPr>
            </w:pPr>
            <w:r w:rsidRPr="00E04BFD">
              <w:rPr>
                <w:rStyle w:val="NormalCharacter"/>
                <w:rFonts w:ascii="Times New Roman" w:eastAsia="仿宋_GB2312" w:hAnsi="Times New Roman"/>
                <w:color w:val="000000"/>
                <w:spacing w:val="-8"/>
                <w:kern w:val="0"/>
                <w:sz w:val="24"/>
              </w:rPr>
              <w:t>交通器材及其他交通运输设备制造</w:t>
            </w:r>
          </w:p>
        </w:tc>
        <w:tc>
          <w:tcPr>
            <w:tcW w:w="3128"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0" w:lineRule="exact"/>
              <w:rPr>
                <w:rStyle w:val="NormalCharacter"/>
                <w:rFonts w:ascii="Times New Roman" w:eastAsia="仿宋_GB2312" w:hAnsi="Times New Roman"/>
                <w:color w:val="000000"/>
                <w:sz w:val="24"/>
              </w:rPr>
            </w:pP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61</w:t>
            </w:r>
          </w:p>
        </w:tc>
        <w:tc>
          <w:tcPr>
            <w:tcW w:w="1379" w:type="dxa"/>
            <w:vMerge w:val="restart"/>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0" w:lineRule="exact"/>
              <w:jc w:val="center"/>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电气机械和器材制造业</w:t>
            </w:r>
          </w:p>
          <w:p w:rsidR="00C1029C" w:rsidRPr="00E04BFD" w:rsidRDefault="00C1029C" w:rsidP="003C712F">
            <w:pPr>
              <w:topLinePunct/>
              <w:spacing w:line="37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kern w:val="0"/>
                <w:sz w:val="24"/>
              </w:rPr>
              <w:t>C38</w:t>
            </w: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kern w:val="0"/>
                <w:sz w:val="24"/>
              </w:rPr>
              <w:t>电气机械及器材制造</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kern w:val="0"/>
                <w:sz w:val="24"/>
              </w:rPr>
              <w:t>有电镀或喷漆工艺且年用油性漆量（含稀释剂）</w:t>
            </w:r>
            <w:r w:rsidRPr="00E04BFD">
              <w:rPr>
                <w:rStyle w:val="NormalCharacter"/>
                <w:rFonts w:ascii="Times New Roman" w:eastAsia="仿宋_GB2312" w:hAnsi="Times New Roman"/>
                <w:color w:val="000000"/>
                <w:kern w:val="0"/>
                <w:sz w:val="24"/>
              </w:rPr>
              <w:t>10</w:t>
            </w:r>
            <w:r w:rsidRPr="00E04BFD">
              <w:rPr>
                <w:rStyle w:val="NormalCharacter"/>
                <w:rFonts w:ascii="Times New Roman" w:eastAsia="仿宋_GB2312" w:hAnsi="Times New Roman"/>
                <w:color w:val="000000"/>
                <w:kern w:val="0"/>
                <w:sz w:val="24"/>
              </w:rPr>
              <w:t>吨及以上的；铅蓄电池制造</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62</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0"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太阳能电池片</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太阳能电池片生产</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63</w:t>
            </w:r>
          </w:p>
        </w:tc>
        <w:tc>
          <w:tcPr>
            <w:tcW w:w="1379" w:type="dxa"/>
            <w:vMerge w:val="restart"/>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计算机、通信和其他电子设备制造业</w:t>
            </w:r>
          </w:p>
          <w:p w:rsidR="00C1029C" w:rsidRPr="00E04BFD" w:rsidRDefault="00C1029C" w:rsidP="003C712F">
            <w:pPr>
              <w:topLinePunct/>
              <w:spacing w:line="37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C39</w:t>
            </w: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kern w:val="0"/>
                <w:sz w:val="24"/>
              </w:rPr>
              <w:t>电子器件制造</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0" w:lineRule="exact"/>
              <w:rPr>
                <w:rStyle w:val="NormalCharacter"/>
                <w:rFonts w:ascii="Times New Roman" w:eastAsia="仿宋_GB2312" w:hAnsi="Times New Roman"/>
                <w:color w:val="000000"/>
                <w:sz w:val="24"/>
              </w:rPr>
            </w:pPr>
            <w:r w:rsidRPr="00E04BFD">
              <w:rPr>
                <w:rFonts w:ascii="Times New Roman" w:eastAsia="仿宋_GB2312" w:hAnsi="Times New Roman"/>
                <w:color w:val="000000"/>
                <w:sz w:val="24"/>
              </w:rPr>
              <w:t>有酸洗或有机溶剂清洗工艺且年用有机溶剂量（含稀释剂）</w:t>
            </w:r>
            <w:r w:rsidRPr="00E04BFD">
              <w:rPr>
                <w:rFonts w:ascii="Times New Roman" w:eastAsia="仿宋_GB2312" w:hAnsi="Times New Roman"/>
                <w:color w:val="000000"/>
                <w:sz w:val="24"/>
              </w:rPr>
              <w:t>10</w:t>
            </w:r>
            <w:r w:rsidRPr="00E04BFD">
              <w:rPr>
                <w:rFonts w:ascii="Times New Roman" w:eastAsia="仿宋_GB2312" w:hAnsi="Times New Roman"/>
                <w:color w:val="000000"/>
                <w:sz w:val="24"/>
              </w:rPr>
              <w:t>吨及以上的</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64</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0"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kern w:val="0"/>
                <w:sz w:val="24"/>
              </w:rPr>
              <w:t>电子元件及电子专用材料制造</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kern w:val="0"/>
                <w:sz w:val="24"/>
              </w:rPr>
              <w:t>印刷电路板、</w:t>
            </w:r>
            <w:r w:rsidRPr="00E04BFD">
              <w:rPr>
                <w:rFonts w:ascii="Times New Roman" w:eastAsia="仿宋_GB2312" w:hAnsi="Times New Roman"/>
                <w:color w:val="000000"/>
                <w:sz w:val="24"/>
              </w:rPr>
              <w:t>蚀刻液、显影液、剥离液、稀释剂、清洗剂；涉及酸碱处理工序的，以及产生重金属污染物的</w:t>
            </w:r>
          </w:p>
        </w:tc>
      </w:tr>
      <w:tr w:rsidR="00C1029C" w:rsidRPr="00E04BFD" w:rsidTr="003C712F">
        <w:trPr>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65</w:t>
            </w:r>
          </w:p>
        </w:tc>
        <w:tc>
          <w:tcPr>
            <w:tcW w:w="137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0" w:lineRule="exact"/>
              <w:jc w:val="center"/>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仪器仪表制造业</w:t>
            </w:r>
          </w:p>
          <w:p w:rsidR="00C1029C" w:rsidRPr="00E04BFD" w:rsidRDefault="00C1029C" w:rsidP="003C712F">
            <w:pPr>
              <w:topLinePunct/>
              <w:spacing w:line="37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kern w:val="0"/>
                <w:sz w:val="24"/>
              </w:rPr>
              <w:t>C40</w:t>
            </w: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kern w:val="0"/>
                <w:sz w:val="24"/>
              </w:rPr>
              <w:t>仪器仪表制造</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kern w:val="0"/>
                <w:sz w:val="24"/>
              </w:rPr>
              <w:t>有电镀或喷漆工艺且年用油性漆量（含稀释剂）</w:t>
            </w:r>
            <w:r w:rsidRPr="00E04BFD">
              <w:rPr>
                <w:rStyle w:val="NormalCharacter"/>
                <w:rFonts w:ascii="Times New Roman" w:eastAsia="仿宋_GB2312" w:hAnsi="Times New Roman"/>
                <w:color w:val="000000"/>
                <w:kern w:val="0"/>
                <w:sz w:val="24"/>
              </w:rPr>
              <w:t xml:space="preserve">10 </w:t>
            </w:r>
            <w:proofErr w:type="gramStart"/>
            <w:r w:rsidRPr="00E04BFD">
              <w:rPr>
                <w:rStyle w:val="NormalCharacter"/>
                <w:rFonts w:ascii="Times New Roman" w:eastAsia="仿宋_GB2312" w:hAnsi="Times New Roman"/>
                <w:color w:val="000000"/>
                <w:kern w:val="0"/>
                <w:sz w:val="24"/>
              </w:rPr>
              <w:t>吨及以上</w:t>
            </w:r>
            <w:proofErr w:type="gramEnd"/>
            <w:r w:rsidRPr="00E04BFD">
              <w:rPr>
                <w:rStyle w:val="NormalCharacter"/>
                <w:rFonts w:ascii="Times New Roman" w:eastAsia="仿宋_GB2312" w:hAnsi="Times New Roman"/>
                <w:color w:val="000000"/>
                <w:kern w:val="0"/>
                <w:sz w:val="24"/>
              </w:rPr>
              <w:t>的</w:t>
            </w:r>
          </w:p>
        </w:tc>
      </w:tr>
      <w:tr w:rsidR="00C1029C" w:rsidRPr="00E04BFD" w:rsidTr="003C712F">
        <w:trPr>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66</w:t>
            </w:r>
          </w:p>
        </w:tc>
        <w:tc>
          <w:tcPr>
            <w:tcW w:w="137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80" w:lineRule="exact"/>
              <w:jc w:val="center"/>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废弃资源综合利用业</w:t>
            </w:r>
          </w:p>
          <w:p w:rsidR="00C1029C" w:rsidRPr="00E04BFD" w:rsidRDefault="00C1029C" w:rsidP="003C712F">
            <w:pPr>
              <w:topLinePunct/>
              <w:spacing w:line="38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kern w:val="0"/>
                <w:sz w:val="24"/>
              </w:rPr>
              <w:t>C42</w:t>
            </w: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8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kern w:val="0"/>
                <w:sz w:val="24"/>
              </w:rPr>
              <w:t>废旧资源（含生物质）拆解、加工、再生利用</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80" w:lineRule="exact"/>
              <w:rPr>
                <w:rStyle w:val="NormalCharacter"/>
                <w:rFonts w:ascii="Times New Roman" w:eastAsia="仿宋_GB2312" w:hAnsi="Times New Roman"/>
                <w:color w:val="000000"/>
                <w:sz w:val="24"/>
              </w:rPr>
            </w:pPr>
            <w:proofErr w:type="gramStart"/>
            <w:r w:rsidRPr="00E04BFD">
              <w:rPr>
                <w:rStyle w:val="NormalCharacter"/>
                <w:rFonts w:ascii="Times New Roman" w:eastAsia="仿宋_GB2312" w:hAnsi="Times New Roman"/>
                <w:color w:val="000000"/>
                <w:kern w:val="0"/>
                <w:sz w:val="24"/>
              </w:rPr>
              <w:t>废电子</w:t>
            </w:r>
            <w:proofErr w:type="gramEnd"/>
            <w:r w:rsidRPr="00E04BFD">
              <w:rPr>
                <w:rStyle w:val="NormalCharacter"/>
                <w:rFonts w:ascii="Times New Roman" w:eastAsia="仿宋_GB2312" w:hAnsi="Times New Roman"/>
                <w:color w:val="000000"/>
                <w:kern w:val="0"/>
                <w:sz w:val="24"/>
              </w:rPr>
              <w:t>电器产品、废电池、废汽车、废电机、废五金、废塑料（除分拣清洗工艺的）、废油、废船、废轮胎等加工、再生利用</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67</w:t>
            </w:r>
          </w:p>
        </w:tc>
        <w:tc>
          <w:tcPr>
            <w:tcW w:w="1379" w:type="dxa"/>
            <w:vMerge w:val="restart"/>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80" w:lineRule="exact"/>
              <w:jc w:val="center"/>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电力、热力生产和供应业</w:t>
            </w:r>
          </w:p>
          <w:p w:rsidR="00C1029C" w:rsidRPr="00E04BFD" w:rsidRDefault="00C1029C" w:rsidP="003C712F">
            <w:pPr>
              <w:topLinePunct/>
              <w:spacing w:line="38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kern w:val="0"/>
                <w:sz w:val="24"/>
              </w:rPr>
              <w:lastRenderedPageBreak/>
              <w:t>C44</w:t>
            </w: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8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kern w:val="0"/>
                <w:sz w:val="24"/>
              </w:rPr>
              <w:lastRenderedPageBreak/>
              <w:t>火力发电（含热电）</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8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全部</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68</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80" w:lineRule="exact"/>
              <w:jc w:val="center"/>
              <w:rPr>
                <w:rStyle w:val="NormalCharacter"/>
                <w:rFonts w:ascii="Times New Roman" w:eastAsia="仿宋_GB2312" w:hAnsi="Times New Roman"/>
                <w:color w:val="000000"/>
                <w:kern w:val="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80"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综合利用发电</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8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全部</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lastRenderedPageBreak/>
              <w:t>69</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80" w:lineRule="exact"/>
              <w:jc w:val="center"/>
              <w:rPr>
                <w:rStyle w:val="NormalCharacter"/>
                <w:rFonts w:ascii="Times New Roman" w:eastAsia="仿宋_GB2312" w:hAnsi="Times New Roman"/>
                <w:color w:val="000000"/>
                <w:kern w:val="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80"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水力发电</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8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全部</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lastRenderedPageBreak/>
              <w:t>70</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80" w:lineRule="exact"/>
              <w:jc w:val="center"/>
              <w:rPr>
                <w:rStyle w:val="NormalCharacter"/>
                <w:rFonts w:ascii="Times New Roman" w:eastAsia="仿宋_GB2312" w:hAnsi="Times New Roman"/>
                <w:color w:val="000000"/>
                <w:kern w:val="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80"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生物质发电</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8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全部</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71</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80"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8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kern w:val="0"/>
                <w:sz w:val="24"/>
              </w:rPr>
              <w:t>热力生产和供应工程</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8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全部</w:t>
            </w:r>
          </w:p>
        </w:tc>
      </w:tr>
      <w:tr w:rsidR="00C1029C" w:rsidRPr="00E04BFD" w:rsidTr="003C712F">
        <w:trPr>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72</w:t>
            </w:r>
          </w:p>
        </w:tc>
        <w:tc>
          <w:tcPr>
            <w:tcW w:w="137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80" w:lineRule="exact"/>
              <w:jc w:val="center"/>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燃气生产和供应业</w:t>
            </w:r>
          </w:p>
          <w:p w:rsidR="00C1029C" w:rsidRPr="00E04BFD" w:rsidRDefault="00C1029C" w:rsidP="003C712F">
            <w:pPr>
              <w:topLinePunct/>
              <w:spacing w:line="38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kern w:val="0"/>
                <w:sz w:val="24"/>
              </w:rPr>
              <w:t>C45</w:t>
            </w: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8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kern w:val="0"/>
                <w:sz w:val="24"/>
              </w:rPr>
              <w:t>煤气生产和供应</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8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全部</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73</w:t>
            </w:r>
          </w:p>
        </w:tc>
        <w:tc>
          <w:tcPr>
            <w:tcW w:w="1379" w:type="dxa"/>
            <w:vMerge w:val="restart"/>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80" w:lineRule="exact"/>
              <w:jc w:val="center"/>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水的生产和供应业</w:t>
            </w:r>
          </w:p>
          <w:p w:rsidR="00C1029C" w:rsidRPr="00E04BFD" w:rsidRDefault="00C1029C" w:rsidP="003C712F">
            <w:pPr>
              <w:topLinePunct/>
              <w:spacing w:line="38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kern w:val="0"/>
                <w:sz w:val="24"/>
              </w:rPr>
              <w:t>C46</w:t>
            </w: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80" w:lineRule="exact"/>
              <w:rPr>
                <w:rStyle w:val="NormalCharacter"/>
                <w:rFonts w:ascii="Times New Roman" w:eastAsia="仿宋_GB2312" w:hAnsi="Times New Roman"/>
                <w:strike/>
                <w:color w:val="000000"/>
                <w:kern w:val="0"/>
                <w:sz w:val="24"/>
              </w:rPr>
            </w:pPr>
            <w:r w:rsidRPr="00E04BFD">
              <w:rPr>
                <w:rStyle w:val="NormalCharacter"/>
                <w:rFonts w:ascii="Times New Roman" w:eastAsia="仿宋_GB2312" w:hAnsi="Times New Roman"/>
                <w:color w:val="000000"/>
                <w:kern w:val="0"/>
                <w:sz w:val="24"/>
              </w:rPr>
              <w:t>自来水生产和供应工程</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8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全部</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74</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80" w:lineRule="exact"/>
              <w:jc w:val="center"/>
              <w:rPr>
                <w:rStyle w:val="NormalCharacter"/>
                <w:rFonts w:ascii="Times New Roman" w:eastAsia="仿宋_GB2312" w:hAnsi="Times New Roman"/>
                <w:color w:val="000000"/>
                <w:kern w:val="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80"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生活污水集中处理</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80" w:lineRule="exact"/>
              <w:rPr>
                <w:rStyle w:val="NormalCharacter"/>
                <w:rFonts w:ascii="Times New Roman" w:eastAsia="仿宋_GB2312" w:hAnsi="Times New Roman"/>
                <w:color w:val="000000"/>
                <w:sz w:val="24"/>
              </w:rPr>
            </w:pPr>
            <w:r w:rsidRPr="00E04BFD">
              <w:rPr>
                <w:rFonts w:ascii="Times New Roman" w:eastAsia="仿宋_GB2312" w:hAnsi="Times New Roman"/>
                <w:color w:val="000000"/>
                <w:spacing w:val="-6"/>
                <w:kern w:val="0"/>
                <w:sz w:val="24"/>
                <w:szCs w:val="21"/>
              </w:rPr>
              <w:t>日处理能力</w:t>
            </w:r>
            <w:r w:rsidRPr="00E04BFD">
              <w:rPr>
                <w:rFonts w:ascii="Times New Roman" w:eastAsia="仿宋_GB2312" w:hAnsi="Times New Roman"/>
                <w:color w:val="000000"/>
                <w:spacing w:val="-6"/>
                <w:kern w:val="0"/>
                <w:sz w:val="24"/>
                <w:szCs w:val="21"/>
              </w:rPr>
              <w:t>2</w:t>
            </w:r>
            <w:r w:rsidRPr="00E04BFD">
              <w:rPr>
                <w:rFonts w:ascii="Times New Roman" w:eastAsia="仿宋_GB2312" w:hAnsi="Times New Roman"/>
                <w:color w:val="000000"/>
                <w:spacing w:val="-6"/>
                <w:kern w:val="0"/>
                <w:sz w:val="24"/>
                <w:szCs w:val="21"/>
              </w:rPr>
              <w:t>万吨及以上的</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75</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80" w:lineRule="exact"/>
              <w:jc w:val="center"/>
              <w:rPr>
                <w:rStyle w:val="NormalCharacter"/>
                <w:rFonts w:ascii="Times New Roman" w:eastAsia="仿宋_GB2312" w:hAnsi="Times New Roman"/>
                <w:color w:val="000000"/>
                <w:kern w:val="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80"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工业废水处理</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8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全部</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76</w:t>
            </w:r>
          </w:p>
        </w:tc>
        <w:tc>
          <w:tcPr>
            <w:tcW w:w="1379" w:type="dxa"/>
            <w:vMerge w:val="restart"/>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8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环境治理业</w:t>
            </w:r>
          </w:p>
          <w:p w:rsidR="00C1029C" w:rsidRPr="00E04BFD" w:rsidRDefault="00C1029C" w:rsidP="003C712F">
            <w:pPr>
              <w:topLinePunct/>
              <w:spacing w:line="38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N77</w:t>
            </w: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8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kern w:val="0"/>
                <w:sz w:val="24"/>
              </w:rPr>
              <w:t>危险废物（</w:t>
            </w:r>
            <w:proofErr w:type="gramStart"/>
            <w:r w:rsidRPr="00E04BFD">
              <w:rPr>
                <w:rStyle w:val="NormalCharacter"/>
                <w:rFonts w:ascii="Times New Roman" w:eastAsia="仿宋_GB2312" w:hAnsi="Times New Roman"/>
                <w:color w:val="000000"/>
                <w:kern w:val="0"/>
                <w:sz w:val="24"/>
              </w:rPr>
              <w:t>含医疗</w:t>
            </w:r>
            <w:proofErr w:type="gramEnd"/>
            <w:r w:rsidRPr="00E04BFD">
              <w:rPr>
                <w:rStyle w:val="NormalCharacter"/>
                <w:rFonts w:ascii="Times New Roman" w:eastAsia="仿宋_GB2312" w:hAnsi="Times New Roman"/>
                <w:color w:val="000000"/>
                <w:kern w:val="0"/>
                <w:sz w:val="24"/>
              </w:rPr>
              <w:t>废物）</w:t>
            </w:r>
            <w:r w:rsidRPr="00E04BFD">
              <w:rPr>
                <w:rStyle w:val="NormalCharacter"/>
                <w:rFonts w:ascii="Times New Roman" w:eastAsia="仿宋_GB2312" w:hAnsi="Times New Roman"/>
                <w:color w:val="000000"/>
                <w:sz w:val="24"/>
              </w:rPr>
              <w:t>产生、收集、贮存、运输、</w:t>
            </w:r>
            <w:r w:rsidRPr="00E04BFD">
              <w:rPr>
                <w:rStyle w:val="NormalCharacter"/>
                <w:rFonts w:ascii="Times New Roman" w:eastAsia="仿宋_GB2312" w:hAnsi="Times New Roman"/>
                <w:color w:val="000000"/>
                <w:kern w:val="0"/>
                <w:sz w:val="24"/>
              </w:rPr>
              <w:t>利用及处置</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8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全部</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77</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80"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8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kern w:val="0"/>
                <w:sz w:val="24"/>
              </w:rPr>
              <w:t>一般工业固体废物（含污泥）处置及综合利用</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8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全部</w:t>
            </w:r>
          </w:p>
        </w:tc>
      </w:tr>
      <w:tr w:rsidR="00C1029C" w:rsidRPr="00E04BFD" w:rsidTr="003C712F">
        <w:trPr>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78</w:t>
            </w:r>
          </w:p>
        </w:tc>
        <w:tc>
          <w:tcPr>
            <w:tcW w:w="137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公共设施</w:t>
            </w:r>
          </w:p>
          <w:p w:rsidR="00C1029C" w:rsidRPr="00E04BFD" w:rsidRDefault="00C1029C" w:rsidP="003C712F">
            <w:pPr>
              <w:topLinePunct/>
              <w:spacing w:line="40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管理业</w:t>
            </w:r>
          </w:p>
          <w:p w:rsidR="00C1029C" w:rsidRPr="00E04BFD" w:rsidRDefault="00C1029C" w:rsidP="003C712F">
            <w:pPr>
              <w:topLinePunct/>
              <w:spacing w:line="40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N78</w:t>
            </w: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城镇生活垃圾（含餐厨废弃物）集中处置</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8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全部</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79</w:t>
            </w:r>
          </w:p>
        </w:tc>
        <w:tc>
          <w:tcPr>
            <w:tcW w:w="1379" w:type="dxa"/>
            <w:vMerge w:val="restart"/>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研究和试验发展</w:t>
            </w:r>
          </w:p>
          <w:p w:rsidR="00C1029C" w:rsidRPr="00E04BFD" w:rsidRDefault="00C1029C" w:rsidP="003C712F">
            <w:pPr>
              <w:topLinePunct/>
              <w:spacing w:line="40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M73</w:t>
            </w: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专业实验室</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8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kern w:val="0"/>
                <w:sz w:val="24"/>
              </w:rPr>
              <w:t>P3</w:t>
            </w:r>
            <w:r w:rsidRPr="00E04BFD">
              <w:rPr>
                <w:rStyle w:val="NormalCharacter"/>
                <w:rFonts w:ascii="Times New Roman" w:eastAsia="仿宋_GB2312" w:hAnsi="Times New Roman"/>
                <w:color w:val="000000"/>
                <w:kern w:val="0"/>
                <w:sz w:val="24"/>
              </w:rPr>
              <w:t>、</w:t>
            </w:r>
            <w:r w:rsidRPr="00E04BFD">
              <w:rPr>
                <w:rStyle w:val="NormalCharacter"/>
                <w:rFonts w:ascii="Times New Roman" w:eastAsia="仿宋_GB2312" w:hAnsi="Times New Roman"/>
                <w:color w:val="000000"/>
                <w:kern w:val="0"/>
                <w:sz w:val="24"/>
              </w:rPr>
              <w:t>P4</w:t>
            </w:r>
            <w:r w:rsidRPr="00E04BFD">
              <w:rPr>
                <w:rStyle w:val="NormalCharacter"/>
                <w:rFonts w:ascii="Times New Roman" w:eastAsia="仿宋_GB2312" w:hAnsi="Times New Roman"/>
                <w:color w:val="000000"/>
                <w:kern w:val="0"/>
                <w:sz w:val="24"/>
              </w:rPr>
              <w:t>生物安全实验室；转基因实验室</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80</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研发基地</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8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kern w:val="0"/>
                <w:sz w:val="24"/>
              </w:rPr>
              <w:t>含医药、化工类等专业中试内容的</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81</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400"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具有试验、分析、检测等功能的化学、医药、生物类省级重点以上实验室</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80"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全部</w:t>
            </w:r>
          </w:p>
        </w:tc>
      </w:tr>
      <w:tr w:rsidR="00C1029C" w:rsidRPr="00E04BFD" w:rsidTr="003C712F">
        <w:trPr>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82</w:t>
            </w:r>
          </w:p>
        </w:tc>
        <w:tc>
          <w:tcPr>
            <w:tcW w:w="137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卫生</w:t>
            </w:r>
          </w:p>
          <w:p w:rsidR="00C1029C" w:rsidRPr="00E04BFD" w:rsidRDefault="00C1029C" w:rsidP="003C712F">
            <w:pPr>
              <w:topLinePunct/>
              <w:spacing w:line="374"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Q84</w:t>
            </w: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二级以上医院</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污染物排放行为引起社会广泛关注；发生突发环境事件可能对环境敏感区域（一）和（二）造成较大影响的</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83</w:t>
            </w:r>
          </w:p>
        </w:tc>
        <w:tc>
          <w:tcPr>
            <w:tcW w:w="1379" w:type="dxa"/>
            <w:vMerge w:val="restart"/>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社会事业与服务业</w:t>
            </w:r>
          </w:p>
          <w:p w:rsidR="00C1029C" w:rsidRPr="00E04BFD" w:rsidRDefault="00C1029C" w:rsidP="003C712F">
            <w:pPr>
              <w:topLinePunct/>
              <w:spacing w:line="374"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O80/82</w:t>
            </w: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加油站、加气站</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全部</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84</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胶片洗印厂</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全部</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85</w:t>
            </w:r>
          </w:p>
        </w:tc>
        <w:tc>
          <w:tcPr>
            <w:tcW w:w="1379" w:type="dxa"/>
            <w:vMerge w:val="restart"/>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煤炭开采和洗选业</w:t>
            </w:r>
          </w:p>
          <w:p w:rsidR="00C1029C" w:rsidRPr="00E04BFD" w:rsidRDefault="00C1029C" w:rsidP="003C712F">
            <w:pPr>
              <w:topLinePunct/>
              <w:spacing w:line="374"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lastRenderedPageBreak/>
              <w:t>B06</w:t>
            </w: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lastRenderedPageBreak/>
              <w:t>煤炭开采</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全部</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86</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煤炭洗选、配煤</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全部</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lastRenderedPageBreak/>
              <w:t>87</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型煤、水煤浆生产</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全部</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lastRenderedPageBreak/>
              <w:t>88</w:t>
            </w:r>
          </w:p>
        </w:tc>
        <w:tc>
          <w:tcPr>
            <w:tcW w:w="1379" w:type="dxa"/>
            <w:vMerge w:val="restart"/>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石油和天然气开采业</w:t>
            </w:r>
          </w:p>
          <w:p w:rsidR="00C1029C" w:rsidRPr="00E04BFD" w:rsidRDefault="00C1029C" w:rsidP="003C712F">
            <w:pPr>
              <w:topLinePunct/>
              <w:spacing w:line="374"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B07</w:t>
            </w: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石油、页岩油开采</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全部</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89</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天然气、页岩气、砂岩气开采（含净化、液化）</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全部</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90</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煤层气开采（含净化、液化）</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全部</w:t>
            </w:r>
          </w:p>
        </w:tc>
      </w:tr>
      <w:tr w:rsidR="00C1029C" w:rsidRPr="00E04BFD" w:rsidTr="003C712F">
        <w:trPr>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91</w:t>
            </w:r>
          </w:p>
        </w:tc>
        <w:tc>
          <w:tcPr>
            <w:tcW w:w="137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黑色金属矿采选业</w:t>
            </w:r>
          </w:p>
          <w:p w:rsidR="00C1029C" w:rsidRPr="00E04BFD" w:rsidRDefault="00C1029C" w:rsidP="003C712F">
            <w:pPr>
              <w:topLinePunct/>
              <w:spacing w:line="374"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B08</w:t>
            </w: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黑色金属矿采选</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含单独尾矿库</w:t>
            </w:r>
          </w:p>
        </w:tc>
      </w:tr>
      <w:tr w:rsidR="00C1029C" w:rsidRPr="00E04BFD" w:rsidTr="003C712F">
        <w:trPr>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92</w:t>
            </w:r>
          </w:p>
        </w:tc>
        <w:tc>
          <w:tcPr>
            <w:tcW w:w="137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有色金属矿采选业</w:t>
            </w:r>
          </w:p>
          <w:p w:rsidR="00C1029C" w:rsidRPr="00E04BFD" w:rsidRDefault="00C1029C" w:rsidP="003C712F">
            <w:pPr>
              <w:topLinePunct/>
              <w:spacing w:line="374"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B09</w:t>
            </w: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有色金属矿采选</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含单独尾矿库</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93</w:t>
            </w:r>
          </w:p>
        </w:tc>
        <w:tc>
          <w:tcPr>
            <w:tcW w:w="1379" w:type="dxa"/>
            <w:vMerge w:val="restart"/>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非金属矿</w:t>
            </w:r>
          </w:p>
          <w:p w:rsidR="00C1029C" w:rsidRPr="00E04BFD" w:rsidRDefault="00C1029C" w:rsidP="003C712F">
            <w:pPr>
              <w:topLinePunct/>
              <w:spacing w:line="374"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采选业</w:t>
            </w:r>
          </w:p>
          <w:p w:rsidR="00C1029C" w:rsidRPr="00E04BFD" w:rsidRDefault="00C1029C" w:rsidP="003C712F">
            <w:pPr>
              <w:topLinePunct/>
              <w:spacing w:line="374"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B10</w:t>
            </w: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化学矿采选</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含单独尾矿库</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94</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采盐</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井盐</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95</w:t>
            </w: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石棉及其他非金属矿采选</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74"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含单独尾矿库</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96</w:t>
            </w:r>
          </w:p>
        </w:tc>
        <w:tc>
          <w:tcPr>
            <w:tcW w:w="1379" w:type="dxa"/>
            <w:vMerge w:val="restart"/>
            <w:tcBorders>
              <w:top w:val="single" w:sz="4" w:space="0" w:color="000000"/>
              <w:left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交通运输业、管道业和仓储业</w:t>
            </w:r>
          </w:p>
          <w:p w:rsidR="00C1029C" w:rsidRPr="00E04BFD" w:rsidRDefault="00C1029C" w:rsidP="003C712F">
            <w:pPr>
              <w:topLinePunct/>
              <w:spacing w:line="36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G53~59</w:t>
            </w: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机场、铁路枢纽</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全部</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97</w:t>
            </w:r>
          </w:p>
        </w:tc>
        <w:tc>
          <w:tcPr>
            <w:tcW w:w="1379" w:type="dxa"/>
            <w:vMerge/>
            <w:tcBorders>
              <w:left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铁路</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rPr>
                <w:rStyle w:val="NormalCharacter"/>
                <w:rFonts w:ascii="Times New Roman" w:eastAsia="仿宋_GB2312" w:hAnsi="Times New Roman"/>
                <w:color w:val="000000"/>
                <w:kern w:val="0"/>
                <w:sz w:val="24"/>
              </w:rPr>
            </w:pPr>
            <w:r w:rsidRPr="00E04BFD">
              <w:rPr>
                <w:rFonts w:ascii="Times New Roman" w:eastAsia="仿宋_GB2312" w:hAnsi="Times New Roman"/>
                <w:color w:val="000000"/>
                <w:sz w:val="24"/>
              </w:rPr>
              <w:t>涉及（一）类环境敏感区的</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98</w:t>
            </w:r>
          </w:p>
        </w:tc>
        <w:tc>
          <w:tcPr>
            <w:tcW w:w="1379" w:type="dxa"/>
            <w:vMerge/>
            <w:tcBorders>
              <w:left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等级公路</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rPr>
                <w:rStyle w:val="NormalCharacter"/>
                <w:rFonts w:ascii="Times New Roman" w:eastAsia="仿宋_GB2312" w:hAnsi="Times New Roman"/>
                <w:color w:val="000000"/>
                <w:kern w:val="0"/>
                <w:sz w:val="24"/>
              </w:rPr>
            </w:pPr>
            <w:r w:rsidRPr="00E04BFD">
              <w:rPr>
                <w:rFonts w:ascii="Times New Roman" w:eastAsia="仿宋_GB2312" w:hAnsi="Times New Roman"/>
                <w:color w:val="000000"/>
                <w:sz w:val="24"/>
              </w:rPr>
              <w:t>涉及（一）类环境敏感区的</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99</w:t>
            </w:r>
          </w:p>
        </w:tc>
        <w:tc>
          <w:tcPr>
            <w:tcW w:w="1379" w:type="dxa"/>
            <w:vMerge/>
            <w:tcBorders>
              <w:left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导航台站、供油工程、维修保障等配套工程</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供油工程；涉及环境敏感区域（二）的</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100</w:t>
            </w:r>
          </w:p>
        </w:tc>
        <w:tc>
          <w:tcPr>
            <w:tcW w:w="1379" w:type="dxa"/>
            <w:vMerge/>
            <w:tcBorders>
              <w:left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油气、液体化工码头</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全部</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101</w:t>
            </w:r>
          </w:p>
        </w:tc>
        <w:tc>
          <w:tcPr>
            <w:tcW w:w="1379" w:type="dxa"/>
            <w:vMerge/>
            <w:tcBorders>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干散货（含煤炭、矿石）、件杂、多用途、通用码头</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全部</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102</w:t>
            </w:r>
          </w:p>
        </w:tc>
        <w:tc>
          <w:tcPr>
            <w:tcW w:w="1379" w:type="dxa"/>
            <w:vMerge w:val="restart"/>
            <w:tcBorders>
              <w:top w:val="single" w:sz="4" w:space="0" w:color="000000"/>
              <w:left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交通运输业、管道业和仓储业</w:t>
            </w:r>
          </w:p>
          <w:p w:rsidR="00C1029C" w:rsidRPr="00E04BFD" w:rsidRDefault="00C1029C" w:rsidP="003C712F">
            <w:pPr>
              <w:topLinePunct/>
              <w:spacing w:line="36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G53~59</w:t>
            </w: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集装箱专用码头</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全部</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103</w:t>
            </w:r>
          </w:p>
        </w:tc>
        <w:tc>
          <w:tcPr>
            <w:tcW w:w="1379" w:type="dxa"/>
            <w:vMerge/>
            <w:tcBorders>
              <w:left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石油、天然气、页岩气、成品油管线</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不含城市天然气管线</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104</w:t>
            </w:r>
          </w:p>
        </w:tc>
        <w:tc>
          <w:tcPr>
            <w:tcW w:w="1379" w:type="dxa"/>
            <w:vMerge/>
            <w:tcBorders>
              <w:left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化学品输送管线</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全部</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kern w:val="0"/>
                <w:sz w:val="24"/>
              </w:rPr>
              <w:t>105</w:t>
            </w:r>
          </w:p>
        </w:tc>
        <w:tc>
          <w:tcPr>
            <w:tcW w:w="1379" w:type="dxa"/>
            <w:vMerge/>
            <w:tcBorders>
              <w:left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油库（不含加油站的油库）</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全部</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106</w:t>
            </w:r>
          </w:p>
        </w:tc>
        <w:tc>
          <w:tcPr>
            <w:tcW w:w="1379" w:type="dxa"/>
            <w:vMerge/>
            <w:tcBorders>
              <w:left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仿宋_GB2312" w:hAnsi="Times New Roman"/>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kern w:val="0"/>
                <w:sz w:val="24"/>
              </w:rPr>
              <w:t>气库（含</w:t>
            </w:r>
            <w:r w:rsidRPr="00E04BFD">
              <w:rPr>
                <w:rStyle w:val="NormalCharacter"/>
                <w:rFonts w:ascii="Times New Roman" w:eastAsia="仿宋_GB2312" w:hAnsi="Times New Roman"/>
                <w:color w:val="000000"/>
                <w:kern w:val="0"/>
                <w:sz w:val="24"/>
              </w:rPr>
              <w:t xml:space="preserve"> LNG </w:t>
            </w:r>
            <w:r w:rsidRPr="00E04BFD">
              <w:rPr>
                <w:rStyle w:val="NormalCharacter"/>
                <w:rFonts w:ascii="Times New Roman" w:eastAsia="仿宋_GB2312" w:hAnsi="Times New Roman"/>
                <w:color w:val="000000"/>
                <w:kern w:val="0"/>
                <w:sz w:val="24"/>
              </w:rPr>
              <w:t>库，不含加气</w:t>
            </w:r>
          </w:p>
          <w:p w:rsidR="00C1029C" w:rsidRPr="00E04BFD" w:rsidRDefault="00C1029C" w:rsidP="003C712F">
            <w:pPr>
              <w:topLinePunct/>
              <w:spacing w:line="360"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站的气库）</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全部</w:t>
            </w:r>
          </w:p>
        </w:tc>
      </w:tr>
      <w:tr w:rsidR="00C1029C" w:rsidRPr="00E04BFD" w:rsidTr="003C712F">
        <w:trPr>
          <w:cantSplit/>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仿宋_GB2312" w:hAnsi="Times New Roman"/>
                <w:color w:val="000000"/>
                <w:sz w:val="24"/>
              </w:rPr>
            </w:pPr>
            <w:r w:rsidRPr="00E04BFD">
              <w:rPr>
                <w:rStyle w:val="NormalCharacter"/>
                <w:rFonts w:ascii="Times New Roman" w:eastAsia="仿宋_GB2312" w:hAnsi="Times New Roman"/>
                <w:color w:val="000000"/>
                <w:sz w:val="24"/>
              </w:rPr>
              <w:t>107</w:t>
            </w:r>
          </w:p>
        </w:tc>
        <w:tc>
          <w:tcPr>
            <w:tcW w:w="1379" w:type="dxa"/>
            <w:vMerge/>
            <w:tcBorders>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仿宋_GB2312" w:hAnsi="Times New Roman"/>
                <w:strike/>
                <w:color w:val="000000"/>
                <w:sz w:val="24"/>
              </w:rPr>
            </w:pPr>
          </w:p>
        </w:tc>
        <w:tc>
          <w:tcPr>
            <w:tcW w:w="3470"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仓储（不含油库、气库、煤炭储存）</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有毒、有害及危险品仓储及运输</w:t>
            </w:r>
          </w:p>
        </w:tc>
      </w:tr>
      <w:tr w:rsidR="00C1029C" w:rsidRPr="00E04BFD" w:rsidTr="003C712F">
        <w:trPr>
          <w:trHeight w:val="20"/>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108</w:t>
            </w:r>
          </w:p>
        </w:tc>
        <w:tc>
          <w:tcPr>
            <w:tcW w:w="4849" w:type="dxa"/>
            <w:gridSpan w:val="2"/>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jc w:val="center"/>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其他</w:t>
            </w:r>
          </w:p>
        </w:tc>
        <w:tc>
          <w:tcPr>
            <w:tcW w:w="3128" w:type="dxa"/>
            <w:tcBorders>
              <w:top w:val="single" w:sz="4" w:space="0" w:color="000000"/>
              <w:left w:val="single" w:sz="4" w:space="0" w:color="000000"/>
              <w:bottom w:val="single" w:sz="4" w:space="0" w:color="000000"/>
              <w:right w:val="single" w:sz="4" w:space="0" w:color="000000"/>
            </w:tcBorders>
            <w:vAlign w:val="center"/>
          </w:tcPr>
          <w:p w:rsidR="00C1029C" w:rsidRPr="00E04BFD" w:rsidRDefault="00C1029C" w:rsidP="003C712F">
            <w:pPr>
              <w:topLinePunct/>
              <w:spacing w:line="360" w:lineRule="exact"/>
              <w:rPr>
                <w:rStyle w:val="NormalCharacter"/>
                <w:rFonts w:ascii="Times New Roman" w:eastAsia="仿宋_GB2312" w:hAnsi="Times New Roman"/>
                <w:color w:val="000000"/>
                <w:kern w:val="0"/>
                <w:sz w:val="24"/>
              </w:rPr>
            </w:pPr>
            <w:r w:rsidRPr="00E04BFD">
              <w:rPr>
                <w:rStyle w:val="NormalCharacter"/>
                <w:rFonts w:ascii="Times New Roman" w:eastAsia="仿宋_GB2312" w:hAnsi="Times New Roman"/>
                <w:color w:val="000000"/>
                <w:kern w:val="0"/>
                <w:sz w:val="24"/>
              </w:rPr>
              <w:t>其他应当开展突发环境事件应急预案备案工作的企事业</w:t>
            </w:r>
            <w:r w:rsidRPr="00E04BFD">
              <w:rPr>
                <w:rStyle w:val="NormalCharacter"/>
                <w:rFonts w:ascii="Times New Roman" w:eastAsia="仿宋_GB2312" w:hAnsi="Times New Roman"/>
                <w:color w:val="000000"/>
                <w:kern w:val="0"/>
                <w:sz w:val="24"/>
              </w:rPr>
              <w:lastRenderedPageBreak/>
              <w:t>单位；鼓励其他企业制定突发环境事件应急预案，或在突发事件应急预案中制定突发环境事件应急预案专章，并备案。</w:t>
            </w:r>
          </w:p>
        </w:tc>
      </w:tr>
    </w:tbl>
    <w:p w:rsidR="00C1029C" w:rsidRPr="00E04BFD" w:rsidRDefault="00C1029C" w:rsidP="00C1029C">
      <w:pPr>
        <w:topLinePunct/>
        <w:spacing w:line="400" w:lineRule="exact"/>
        <w:rPr>
          <w:rStyle w:val="NormalCharacter"/>
          <w:rFonts w:ascii="Times New Roman" w:eastAsia="仿宋_GB2312" w:hAnsi="Times New Roman"/>
          <w:bCs/>
          <w:sz w:val="24"/>
        </w:rPr>
      </w:pPr>
      <w:r w:rsidRPr="00E04BFD">
        <w:rPr>
          <w:rStyle w:val="NormalCharacter"/>
          <w:rFonts w:ascii="Times New Roman" w:eastAsia="仿宋_GB2312" w:hAnsi="Times New Roman"/>
          <w:bCs/>
          <w:sz w:val="24"/>
        </w:rPr>
        <w:lastRenderedPageBreak/>
        <w:t>备注：环境敏感区域指：（一）自然保护区、风景名胜区、世界文化和自然遗产地、饮用水水源保护区；（二）以居住、医疗卫生、文化教育、科研、行政办公等为主要功能的区域，以及文物保护单位。</w:t>
      </w:r>
    </w:p>
    <w:p w:rsidR="001839C3" w:rsidRDefault="001839C3" w:rsidP="00C1029C"/>
    <w:sectPr w:rsidR="001839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29C"/>
    <w:rsid w:val="001839C3"/>
    <w:rsid w:val="00C10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29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qFormat/>
    <w:rsid w:val="00C102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29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qFormat/>
    <w:rsid w:val="00C10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2146</Words>
  <Characters>2190</Characters>
  <Application>Microsoft Office Word</Application>
  <DocSecurity>0</DocSecurity>
  <Lines>156</Lines>
  <Paragraphs>114</Paragraphs>
  <ScaleCrop>false</ScaleCrop>
  <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王倩</dc:creator>
  <cp:lastModifiedBy>王倩</cp:lastModifiedBy>
  <cp:revision>1</cp:revision>
  <dcterms:created xsi:type="dcterms:W3CDTF">2019-12-13T07:00:00Z</dcterms:created>
  <dcterms:modified xsi:type="dcterms:W3CDTF">2019-12-13T07:01:00Z</dcterms:modified>
</cp:coreProperties>
</file>